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BA3" w:rsidRPr="0080626F" w:rsidRDefault="00922BA3" w:rsidP="00922BA3">
      <w:pPr>
        <w:spacing w:after="0" w:line="360" w:lineRule="auto"/>
        <w:jc w:val="center"/>
        <w:rPr>
          <w:rFonts w:asciiTheme="majorBidi" w:hAnsiTheme="majorBidi" w:cstheme="majorBidi"/>
          <w:sz w:val="26"/>
          <w:szCs w:val="26"/>
        </w:rPr>
      </w:pPr>
      <w:r w:rsidRPr="0080626F">
        <w:rPr>
          <w:rFonts w:asciiTheme="majorBidi" w:hAnsiTheme="majorBidi" w:cstheme="majorBidi"/>
          <w:sz w:val="26"/>
          <w:szCs w:val="26"/>
        </w:rPr>
        <w:t>ABSTRAK</w:t>
      </w:r>
    </w:p>
    <w:p w:rsidR="00922BA3" w:rsidRPr="0080626F" w:rsidRDefault="00922BA3" w:rsidP="00922BA3">
      <w:pPr>
        <w:pStyle w:val="ListParagraph"/>
        <w:spacing w:after="0" w:line="360" w:lineRule="auto"/>
        <w:ind w:left="0" w:firstLine="680"/>
        <w:jc w:val="both"/>
        <w:rPr>
          <w:rFonts w:asciiTheme="majorBidi" w:hAnsiTheme="majorBidi" w:cstheme="majorBidi"/>
          <w:sz w:val="26"/>
          <w:szCs w:val="26"/>
        </w:rPr>
      </w:pPr>
    </w:p>
    <w:p w:rsidR="00922BA3" w:rsidRPr="0080626F" w:rsidRDefault="00922BA3" w:rsidP="00A758AC">
      <w:pPr>
        <w:pStyle w:val="ListParagraph"/>
        <w:spacing w:before="120" w:after="120" w:line="240" w:lineRule="exact"/>
        <w:ind w:left="0" w:firstLine="680"/>
        <w:contextualSpacing w:val="0"/>
        <w:jc w:val="both"/>
        <w:rPr>
          <w:rFonts w:asciiTheme="majorBidi" w:hAnsiTheme="majorBidi" w:cstheme="majorBidi"/>
          <w:sz w:val="26"/>
          <w:szCs w:val="26"/>
        </w:rPr>
      </w:pPr>
      <w:r w:rsidRPr="0080626F">
        <w:rPr>
          <w:rFonts w:asciiTheme="majorBidi" w:hAnsiTheme="majorBidi" w:cstheme="majorBidi"/>
          <w:sz w:val="26"/>
          <w:szCs w:val="26"/>
        </w:rPr>
        <w:t xml:space="preserve">Kawasan Nusantara sering diidentikkan sebagai kawasan </w:t>
      </w:r>
      <w:r w:rsidRPr="0080626F">
        <w:rPr>
          <w:rFonts w:asciiTheme="majorBidi" w:hAnsiTheme="majorBidi" w:cstheme="majorBidi"/>
          <w:i/>
          <w:iCs/>
          <w:sz w:val="26"/>
          <w:szCs w:val="26"/>
        </w:rPr>
        <w:t xml:space="preserve">Islamique Peripherique </w:t>
      </w:r>
      <w:r w:rsidRPr="0080626F">
        <w:rPr>
          <w:rFonts w:asciiTheme="majorBidi" w:hAnsiTheme="majorBidi" w:cstheme="majorBidi"/>
          <w:sz w:val="26"/>
          <w:szCs w:val="26"/>
        </w:rPr>
        <w:t xml:space="preserve">(Kawasan Islam Pinggiran) </w:t>
      </w:r>
      <w:r w:rsidRPr="0080626F">
        <w:rPr>
          <w:rFonts w:asciiTheme="majorBidi" w:hAnsiTheme="majorBidi" w:cstheme="majorBidi"/>
          <w:i/>
          <w:iCs/>
          <w:sz w:val="26"/>
          <w:szCs w:val="26"/>
        </w:rPr>
        <w:t>vis a vis</w:t>
      </w:r>
      <w:r w:rsidRPr="0080626F">
        <w:rPr>
          <w:rFonts w:asciiTheme="majorBidi" w:hAnsiTheme="majorBidi" w:cstheme="majorBidi"/>
          <w:sz w:val="26"/>
          <w:szCs w:val="26"/>
        </w:rPr>
        <w:t xml:space="preserve"> kawasan Timur Tengah sebagai </w:t>
      </w:r>
      <w:r w:rsidRPr="0080626F">
        <w:rPr>
          <w:rFonts w:asciiTheme="majorBidi" w:hAnsiTheme="majorBidi" w:cstheme="majorBidi"/>
          <w:i/>
          <w:iCs/>
          <w:sz w:val="26"/>
          <w:szCs w:val="26"/>
        </w:rPr>
        <w:t xml:space="preserve">Islamic Core </w:t>
      </w:r>
      <w:r w:rsidRPr="0080626F">
        <w:rPr>
          <w:rFonts w:asciiTheme="majorBidi" w:hAnsiTheme="majorBidi" w:cstheme="majorBidi"/>
          <w:sz w:val="26"/>
          <w:szCs w:val="26"/>
        </w:rPr>
        <w:t xml:space="preserve">(Kawasan Pusat Islam). Polarisasi yang pada awalnya bernuansa geografis ini pada perkembangannya masuk ke </w:t>
      </w:r>
      <w:r w:rsidRPr="0080626F">
        <w:rPr>
          <w:rFonts w:asciiTheme="majorBidi" w:hAnsiTheme="majorBidi" w:cstheme="majorBidi"/>
          <w:i/>
          <w:iCs/>
          <w:sz w:val="26"/>
          <w:szCs w:val="26"/>
        </w:rPr>
        <w:t xml:space="preserve">ranah </w:t>
      </w:r>
      <w:r w:rsidRPr="0080626F">
        <w:rPr>
          <w:rFonts w:asciiTheme="majorBidi" w:hAnsiTheme="majorBidi" w:cstheme="majorBidi"/>
          <w:sz w:val="26"/>
          <w:szCs w:val="26"/>
        </w:rPr>
        <w:t xml:space="preserve">pemahaman keagamaan dimana masyarakat (baca; kaum muslimin) yang berada di kawasan </w:t>
      </w:r>
      <w:r w:rsidRPr="0080626F">
        <w:rPr>
          <w:rFonts w:asciiTheme="majorBidi" w:hAnsiTheme="majorBidi" w:cstheme="majorBidi"/>
          <w:i/>
          <w:iCs/>
          <w:sz w:val="26"/>
          <w:szCs w:val="26"/>
        </w:rPr>
        <w:t xml:space="preserve">Islamic Core </w:t>
      </w:r>
      <w:r w:rsidRPr="0080626F">
        <w:rPr>
          <w:rFonts w:asciiTheme="majorBidi" w:hAnsiTheme="majorBidi" w:cstheme="majorBidi"/>
          <w:sz w:val="26"/>
          <w:szCs w:val="26"/>
        </w:rPr>
        <w:t xml:space="preserve">diyakini sebagai sosok yang memiliki pemahaman keislaman yang murni/lurus, sementara yang terakhir dianggap memiliki pemahaman yang tidak murni karena telah bercampur dengan unsur-unsur lain seperti bid’ah, takhyul, khurafat, dll. Analisa ini tentusaja tidak sepenuhnya benar, meskipun juga tidak sepenuhnya salah. Secara geografis adalah fakta bahwa Rasulullah SAW lahir dan berkiprah jazirah Arabia membuat kawasan tersebut menjelma menjadi </w:t>
      </w:r>
      <w:r w:rsidRPr="0080626F">
        <w:rPr>
          <w:rFonts w:asciiTheme="majorBidi" w:hAnsiTheme="majorBidi" w:cstheme="majorBidi"/>
          <w:i/>
          <w:iCs/>
          <w:sz w:val="26"/>
          <w:szCs w:val="26"/>
        </w:rPr>
        <w:t>core Islam</w:t>
      </w:r>
      <w:r w:rsidRPr="0080626F">
        <w:rPr>
          <w:rFonts w:asciiTheme="majorBidi" w:hAnsiTheme="majorBidi" w:cstheme="majorBidi"/>
          <w:sz w:val="26"/>
          <w:szCs w:val="26"/>
        </w:rPr>
        <w:t xml:space="preserve">. Namun pemahaman keislaman yang tepat dan benar tidak otomatis dimiliki masyarakat kawasan tersebut. Kawasan nusantara, begitu juga dengan kawasan lainnya, juga memiliki </w:t>
      </w:r>
      <w:r w:rsidRPr="0080626F">
        <w:rPr>
          <w:rFonts w:asciiTheme="majorBidi" w:hAnsiTheme="majorBidi" w:cstheme="majorBidi"/>
          <w:i/>
          <w:iCs/>
          <w:sz w:val="26"/>
          <w:szCs w:val="26"/>
        </w:rPr>
        <w:t xml:space="preserve">hak </w:t>
      </w:r>
      <w:r w:rsidRPr="0080626F">
        <w:rPr>
          <w:rFonts w:asciiTheme="majorBidi" w:hAnsiTheme="majorBidi" w:cstheme="majorBidi"/>
          <w:sz w:val="26"/>
          <w:szCs w:val="26"/>
        </w:rPr>
        <w:t xml:space="preserve">untuk memiliki otentisitas pemahaman terhadap ajaran Islam, kendatipun secara georafis berada di posisi </w:t>
      </w:r>
      <w:r w:rsidRPr="0080626F">
        <w:rPr>
          <w:rFonts w:asciiTheme="majorBidi" w:hAnsiTheme="majorBidi" w:cstheme="majorBidi"/>
          <w:i/>
          <w:iCs/>
          <w:sz w:val="26"/>
          <w:szCs w:val="26"/>
        </w:rPr>
        <w:t>periferal</w:t>
      </w:r>
      <w:r w:rsidRPr="0080626F">
        <w:rPr>
          <w:rFonts w:asciiTheme="majorBidi" w:hAnsiTheme="majorBidi" w:cstheme="majorBidi"/>
          <w:sz w:val="26"/>
          <w:szCs w:val="26"/>
        </w:rPr>
        <w:t>.</w:t>
      </w:r>
    </w:p>
    <w:p w:rsidR="00215280" w:rsidRPr="0080626F" w:rsidRDefault="00922BA3" w:rsidP="00A758AC">
      <w:pPr>
        <w:pStyle w:val="ListParagraph"/>
        <w:spacing w:before="120" w:after="120" w:line="240" w:lineRule="exact"/>
        <w:ind w:left="0" w:firstLine="680"/>
        <w:contextualSpacing w:val="0"/>
        <w:jc w:val="both"/>
        <w:rPr>
          <w:rFonts w:asciiTheme="majorBidi" w:hAnsiTheme="majorBidi" w:cstheme="majorBidi"/>
          <w:sz w:val="26"/>
          <w:szCs w:val="26"/>
        </w:rPr>
      </w:pPr>
      <w:r w:rsidRPr="0080626F">
        <w:rPr>
          <w:rFonts w:asciiTheme="majorBidi" w:hAnsiTheme="majorBidi" w:cstheme="majorBidi"/>
          <w:sz w:val="26"/>
          <w:szCs w:val="26"/>
        </w:rPr>
        <w:t>Penelitian ini bertujuan untuk mengungkap dinamika perkembangan Islam Nusantara dengan menjadikan naskah klasik</w:t>
      </w:r>
      <w:r w:rsidR="00215280" w:rsidRPr="0080626F">
        <w:rPr>
          <w:rFonts w:asciiTheme="majorBidi" w:hAnsiTheme="majorBidi" w:cstheme="majorBidi"/>
          <w:sz w:val="26"/>
          <w:szCs w:val="26"/>
        </w:rPr>
        <w:t xml:space="preserve"> </w:t>
      </w:r>
      <w:r w:rsidRPr="0080626F">
        <w:rPr>
          <w:rFonts w:asciiTheme="majorBidi" w:hAnsiTheme="majorBidi" w:cstheme="majorBidi"/>
          <w:sz w:val="26"/>
          <w:szCs w:val="26"/>
        </w:rPr>
        <w:t xml:space="preserve">sebagai fokus pembahasan. </w:t>
      </w:r>
      <w:r w:rsidR="00215280" w:rsidRPr="0080626F">
        <w:rPr>
          <w:rFonts w:asciiTheme="majorBidi" w:hAnsiTheme="majorBidi" w:cstheme="majorBidi"/>
          <w:sz w:val="26"/>
          <w:szCs w:val="26"/>
        </w:rPr>
        <w:t xml:space="preserve">Fokus utama penelitian ini adalah </w:t>
      </w:r>
      <w:r w:rsidR="00215280" w:rsidRPr="0080626F">
        <w:rPr>
          <w:rFonts w:asciiTheme="majorBidi" w:hAnsiTheme="majorBidi" w:cstheme="majorBidi"/>
          <w:i/>
          <w:iCs/>
          <w:sz w:val="26"/>
          <w:szCs w:val="26"/>
        </w:rPr>
        <w:t xml:space="preserve">Jauhar al-Haqa’iq </w:t>
      </w:r>
      <w:r w:rsidR="00215280" w:rsidRPr="0080626F">
        <w:rPr>
          <w:rFonts w:asciiTheme="majorBidi" w:hAnsiTheme="majorBidi" w:cstheme="majorBidi"/>
          <w:sz w:val="26"/>
          <w:szCs w:val="26"/>
        </w:rPr>
        <w:t>karya Syekh Syamsuddin al-Sumaterani. Penelitian ini adalah penelitian kepustakaan (</w:t>
      </w:r>
      <w:r w:rsidR="00215280" w:rsidRPr="0080626F">
        <w:rPr>
          <w:rFonts w:asciiTheme="majorBidi" w:hAnsiTheme="majorBidi" w:cstheme="majorBidi"/>
          <w:i/>
          <w:iCs/>
          <w:sz w:val="26"/>
          <w:szCs w:val="26"/>
        </w:rPr>
        <w:t>library research</w:t>
      </w:r>
      <w:r w:rsidR="00215280" w:rsidRPr="0080626F">
        <w:rPr>
          <w:rFonts w:asciiTheme="majorBidi" w:hAnsiTheme="majorBidi" w:cstheme="majorBidi"/>
          <w:sz w:val="26"/>
          <w:szCs w:val="26"/>
        </w:rPr>
        <w:t>) dengan menjadikan pendekatan filologis sebagai instrumen untuk menemukan pemaknaan terhadap teks. Secara umum pendekatan filologis bertujuan untuk menyunting, menertibkan, dan menganalisis sebuah naskah kuno/klasik. Setelah melalui kajian filologis inilah kemudian sebuah naskah kuno/klasik dapat dielobarasi secara mendalam.</w:t>
      </w:r>
    </w:p>
    <w:p w:rsidR="00215280" w:rsidRPr="0080626F" w:rsidRDefault="00215280" w:rsidP="00A758AC">
      <w:pPr>
        <w:pStyle w:val="ListParagraph"/>
        <w:spacing w:before="120" w:after="120" w:line="240" w:lineRule="exact"/>
        <w:ind w:left="0" w:firstLine="680"/>
        <w:contextualSpacing w:val="0"/>
        <w:jc w:val="both"/>
        <w:rPr>
          <w:rFonts w:asciiTheme="majorBidi" w:hAnsiTheme="majorBidi" w:cstheme="majorBidi"/>
          <w:sz w:val="26"/>
          <w:szCs w:val="26"/>
        </w:rPr>
      </w:pPr>
      <w:r w:rsidRPr="0080626F">
        <w:rPr>
          <w:rFonts w:asciiTheme="majorBidi" w:hAnsiTheme="majorBidi" w:cstheme="majorBidi"/>
          <w:sz w:val="26"/>
          <w:szCs w:val="26"/>
        </w:rPr>
        <w:t xml:space="preserve">Agar penelitian ini tidak berhenti pada pemaknaan teks semata, maka penulis juga melakukan kajian intertekstual dengan tujuan agar </w:t>
      </w:r>
      <w:r w:rsidRPr="0080626F">
        <w:rPr>
          <w:rFonts w:asciiTheme="majorBidi" w:hAnsiTheme="majorBidi" w:cstheme="majorBidi"/>
          <w:i/>
          <w:iCs/>
          <w:sz w:val="26"/>
          <w:szCs w:val="26"/>
        </w:rPr>
        <w:t xml:space="preserve">Jauhar al-Haqa’iq </w:t>
      </w:r>
      <w:r w:rsidRPr="0080626F">
        <w:rPr>
          <w:rFonts w:asciiTheme="majorBidi" w:hAnsiTheme="majorBidi" w:cstheme="majorBidi"/>
          <w:sz w:val="26"/>
          <w:szCs w:val="26"/>
        </w:rPr>
        <w:t>dapat ditampilkan secara lebih mendalam dan berarti. Pendekatan intertekstual merupakan salah satu pendekatan dalam penelitian sastra yang menganggap bahwa suatu teks memiliki makna, bukan dalam keadaannya sebagai struktur yang mandiri, melainkan karena teks tersebut berhubungan dengan teks-teks lain.</w:t>
      </w:r>
    </w:p>
    <w:p w:rsidR="009D397E" w:rsidRPr="0080626F" w:rsidRDefault="009D397E" w:rsidP="00A758AC">
      <w:pPr>
        <w:spacing w:before="120" w:after="120" w:line="240" w:lineRule="exact"/>
        <w:ind w:firstLine="680"/>
        <w:jc w:val="both"/>
        <w:rPr>
          <w:rFonts w:ascii="Times New Roman" w:hAnsi="Times New Roman" w:cs="Times New Roman"/>
          <w:sz w:val="26"/>
          <w:szCs w:val="26"/>
        </w:rPr>
      </w:pPr>
      <w:r w:rsidRPr="0080626F">
        <w:rPr>
          <w:rFonts w:ascii="Times New Roman" w:hAnsi="Times New Roman" w:cs="Times New Roman"/>
          <w:i/>
          <w:sz w:val="26"/>
          <w:szCs w:val="26"/>
        </w:rPr>
        <w:t xml:space="preserve">Jauhar al-Haqa’iq </w:t>
      </w:r>
      <w:r w:rsidRPr="0080626F">
        <w:rPr>
          <w:rFonts w:ascii="Times New Roman" w:hAnsi="Times New Roman" w:cs="Times New Roman"/>
          <w:sz w:val="26"/>
          <w:szCs w:val="26"/>
        </w:rPr>
        <w:t xml:space="preserve">merupakan karya yang memuat penjelasan secara mendalam terkait dengan pembahasan tentang </w:t>
      </w:r>
      <w:r w:rsidRPr="0080626F">
        <w:rPr>
          <w:rFonts w:ascii="Times New Roman" w:hAnsi="Times New Roman" w:cs="Times New Roman"/>
          <w:i/>
          <w:sz w:val="26"/>
          <w:szCs w:val="26"/>
        </w:rPr>
        <w:t xml:space="preserve">martabat tujuh </w:t>
      </w:r>
      <w:r w:rsidRPr="0080626F">
        <w:rPr>
          <w:rFonts w:ascii="Times New Roman" w:hAnsi="Times New Roman" w:cs="Times New Roman"/>
          <w:sz w:val="26"/>
          <w:szCs w:val="26"/>
        </w:rPr>
        <w:t>(</w:t>
      </w:r>
      <w:r w:rsidRPr="0080626F">
        <w:rPr>
          <w:rFonts w:ascii="Times New Roman" w:hAnsi="Times New Roman" w:cs="Times New Roman"/>
          <w:i/>
          <w:sz w:val="26"/>
          <w:szCs w:val="26"/>
        </w:rPr>
        <w:t>seven grades of being</w:t>
      </w:r>
      <w:r w:rsidRPr="0080626F">
        <w:rPr>
          <w:rFonts w:ascii="Times New Roman" w:hAnsi="Times New Roman" w:cs="Times New Roman"/>
          <w:sz w:val="26"/>
          <w:szCs w:val="26"/>
        </w:rPr>
        <w:t xml:space="preserve">) yang merupakan pengembangan dari ajaran </w:t>
      </w:r>
      <w:r w:rsidRPr="0080626F">
        <w:rPr>
          <w:rFonts w:ascii="Times New Roman" w:hAnsi="Times New Roman" w:cs="Times New Roman"/>
          <w:i/>
          <w:sz w:val="26"/>
          <w:szCs w:val="26"/>
        </w:rPr>
        <w:t xml:space="preserve">wahdah al-wujud </w:t>
      </w:r>
      <w:r w:rsidRPr="0080626F">
        <w:rPr>
          <w:rFonts w:ascii="Times New Roman" w:hAnsi="Times New Roman" w:cs="Times New Roman"/>
          <w:sz w:val="26"/>
          <w:szCs w:val="26"/>
        </w:rPr>
        <w:t xml:space="preserve">yang pertama kali diperkenalkan oleh Muhyiddin Ibn Arabi, sufi besar asal Murcia (1165-1240). Secara sistematik karya ini memuat lima bab pembahasan yaitu pertama </w:t>
      </w:r>
      <w:r w:rsidRPr="0080626F">
        <w:rPr>
          <w:rFonts w:ascii="Times New Roman" w:hAnsi="Times New Roman" w:cs="Times New Roman"/>
          <w:i/>
          <w:sz w:val="26"/>
          <w:szCs w:val="26"/>
        </w:rPr>
        <w:t>Ahadiyah</w:t>
      </w:r>
      <w:r w:rsidRPr="0080626F">
        <w:rPr>
          <w:rFonts w:ascii="Times New Roman" w:hAnsi="Times New Roman" w:cs="Times New Roman"/>
          <w:sz w:val="26"/>
          <w:szCs w:val="26"/>
        </w:rPr>
        <w:t xml:space="preserve"> (</w:t>
      </w:r>
      <w:r w:rsidRPr="0080626F">
        <w:rPr>
          <w:rFonts w:ascii="Times New Roman" w:hAnsi="Times New Roman" w:cs="Times New Roman"/>
          <w:i/>
          <w:sz w:val="26"/>
          <w:szCs w:val="26"/>
        </w:rPr>
        <w:t>being as without any determination</w:t>
      </w:r>
      <w:r w:rsidRPr="0080626F">
        <w:rPr>
          <w:rFonts w:ascii="Times New Roman" w:hAnsi="Times New Roman" w:cs="Times New Roman"/>
          <w:sz w:val="26"/>
          <w:szCs w:val="26"/>
        </w:rPr>
        <w:t xml:space="preserve">), wujud objektif atau wujud aktual Tuhan, nukan ide, konsep, atau wujud </w:t>
      </w:r>
      <w:r w:rsidRPr="0080626F">
        <w:rPr>
          <w:rFonts w:ascii="Times New Roman" w:hAnsi="Times New Roman" w:cs="Times New Roman"/>
          <w:i/>
          <w:sz w:val="26"/>
          <w:szCs w:val="26"/>
        </w:rPr>
        <w:t xml:space="preserve">ilmi </w:t>
      </w:r>
      <w:r w:rsidRPr="0080626F">
        <w:rPr>
          <w:rFonts w:ascii="Times New Roman" w:hAnsi="Times New Roman" w:cs="Times New Roman"/>
          <w:sz w:val="26"/>
          <w:szCs w:val="26"/>
        </w:rPr>
        <w:t xml:space="preserve">tentang Tuhan. Kedua </w:t>
      </w:r>
      <w:r w:rsidRPr="0080626F">
        <w:rPr>
          <w:rFonts w:ascii="Times New Roman" w:hAnsi="Times New Roman" w:cs="Times New Roman"/>
          <w:i/>
          <w:sz w:val="26"/>
          <w:szCs w:val="26"/>
        </w:rPr>
        <w:t>Wahdah</w:t>
      </w:r>
      <w:r w:rsidRPr="0080626F">
        <w:rPr>
          <w:rFonts w:ascii="Times New Roman" w:hAnsi="Times New Roman" w:cs="Times New Roman"/>
          <w:sz w:val="26"/>
          <w:szCs w:val="26"/>
        </w:rPr>
        <w:t xml:space="preserve"> (</w:t>
      </w:r>
      <w:r w:rsidRPr="0080626F">
        <w:rPr>
          <w:rFonts w:ascii="Times New Roman" w:hAnsi="Times New Roman" w:cs="Times New Roman"/>
          <w:i/>
          <w:sz w:val="26"/>
          <w:szCs w:val="26"/>
        </w:rPr>
        <w:t>the primal stage of devine self-contemplation</w:t>
      </w:r>
      <w:r w:rsidRPr="0080626F">
        <w:rPr>
          <w:rFonts w:ascii="Times New Roman" w:hAnsi="Times New Roman" w:cs="Times New Roman"/>
          <w:sz w:val="26"/>
          <w:szCs w:val="26"/>
        </w:rPr>
        <w:t xml:space="preserve">), penampakan diri Tuhan tahap pertama, manifestasi yang muncul dalam diri Tuhan  atau dalam ilmu-Nya baru bersifat global. Ketiga </w:t>
      </w:r>
      <w:r w:rsidRPr="0080626F">
        <w:rPr>
          <w:rFonts w:ascii="Times New Roman" w:hAnsi="Times New Roman" w:cs="Times New Roman"/>
          <w:i/>
          <w:sz w:val="26"/>
          <w:szCs w:val="26"/>
        </w:rPr>
        <w:t>Wahidiyah</w:t>
      </w:r>
      <w:r w:rsidRPr="0080626F">
        <w:rPr>
          <w:rFonts w:ascii="Times New Roman" w:hAnsi="Times New Roman" w:cs="Times New Roman"/>
          <w:sz w:val="26"/>
          <w:szCs w:val="26"/>
        </w:rPr>
        <w:t xml:space="preserve"> (</w:t>
      </w:r>
      <w:r w:rsidRPr="0080626F">
        <w:rPr>
          <w:rFonts w:ascii="Times New Roman" w:hAnsi="Times New Roman" w:cs="Times New Roman"/>
          <w:i/>
          <w:sz w:val="26"/>
          <w:szCs w:val="26"/>
        </w:rPr>
        <w:t>the individuation of ideas in the devine mind</w:t>
      </w:r>
      <w:r w:rsidRPr="0080626F">
        <w:rPr>
          <w:rFonts w:ascii="Times New Roman" w:hAnsi="Times New Roman" w:cs="Times New Roman"/>
          <w:sz w:val="26"/>
          <w:szCs w:val="26"/>
        </w:rPr>
        <w:t>), penampakan diri Tuhan tahap kedua, manifestasi yang muncul pada dua nama (</w:t>
      </w:r>
      <w:r w:rsidRPr="0080626F">
        <w:rPr>
          <w:rFonts w:ascii="Times New Roman" w:hAnsi="Times New Roman" w:cs="Times New Roman"/>
          <w:i/>
          <w:sz w:val="26"/>
          <w:szCs w:val="26"/>
        </w:rPr>
        <w:t>Rahman</w:t>
      </w:r>
      <w:r w:rsidRPr="0080626F">
        <w:rPr>
          <w:rFonts w:ascii="Times New Roman" w:hAnsi="Times New Roman" w:cs="Times New Roman"/>
          <w:sz w:val="26"/>
          <w:szCs w:val="26"/>
        </w:rPr>
        <w:t xml:space="preserve"> dan </w:t>
      </w:r>
      <w:r w:rsidRPr="0080626F">
        <w:rPr>
          <w:rFonts w:ascii="Times New Roman" w:hAnsi="Times New Roman" w:cs="Times New Roman"/>
          <w:i/>
          <w:sz w:val="26"/>
          <w:szCs w:val="26"/>
        </w:rPr>
        <w:t>Rahim</w:t>
      </w:r>
      <w:r w:rsidRPr="0080626F">
        <w:rPr>
          <w:rFonts w:ascii="Times New Roman" w:hAnsi="Times New Roman" w:cs="Times New Roman"/>
          <w:sz w:val="26"/>
          <w:szCs w:val="26"/>
        </w:rPr>
        <w:t xml:space="preserve">). Keempat </w:t>
      </w:r>
      <w:r w:rsidRPr="0080626F">
        <w:rPr>
          <w:rFonts w:ascii="Times New Roman" w:hAnsi="Times New Roman" w:cs="Times New Roman"/>
          <w:i/>
          <w:sz w:val="26"/>
          <w:szCs w:val="26"/>
        </w:rPr>
        <w:t>‘Alam al-Arwah</w:t>
      </w:r>
      <w:r w:rsidRPr="0080626F">
        <w:rPr>
          <w:rFonts w:ascii="Times New Roman" w:hAnsi="Times New Roman" w:cs="Times New Roman"/>
          <w:sz w:val="26"/>
          <w:szCs w:val="26"/>
        </w:rPr>
        <w:t xml:space="preserve"> (</w:t>
      </w:r>
      <w:r w:rsidRPr="0080626F">
        <w:rPr>
          <w:rFonts w:ascii="Times New Roman" w:hAnsi="Times New Roman" w:cs="Times New Roman"/>
          <w:i/>
          <w:sz w:val="26"/>
          <w:szCs w:val="26"/>
        </w:rPr>
        <w:t>the world of spiritual  realities, an inward and an outward</w:t>
      </w:r>
      <w:r w:rsidRPr="0080626F">
        <w:rPr>
          <w:rFonts w:ascii="Times New Roman" w:hAnsi="Times New Roman" w:cs="Times New Roman"/>
          <w:sz w:val="26"/>
          <w:szCs w:val="26"/>
        </w:rPr>
        <w:t xml:space="preserve">), dan kelima </w:t>
      </w:r>
      <w:r w:rsidRPr="0080626F">
        <w:rPr>
          <w:rFonts w:ascii="Times New Roman" w:hAnsi="Times New Roman" w:cs="Times New Roman"/>
          <w:i/>
          <w:sz w:val="26"/>
          <w:szCs w:val="26"/>
        </w:rPr>
        <w:t>‘Alam al-Syahadah</w:t>
      </w:r>
      <w:r w:rsidRPr="0080626F">
        <w:rPr>
          <w:rFonts w:ascii="Times New Roman" w:hAnsi="Times New Roman" w:cs="Times New Roman"/>
          <w:sz w:val="26"/>
          <w:szCs w:val="26"/>
        </w:rPr>
        <w:t xml:space="preserve"> (</w:t>
      </w:r>
      <w:r w:rsidRPr="0080626F">
        <w:rPr>
          <w:rFonts w:ascii="Times New Roman" w:hAnsi="Times New Roman" w:cs="Times New Roman"/>
          <w:i/>
          <w:sz w:val="26"/>
          <w:szCs w:val="26"/>
        </w:rPr>
        <w:t>the world of material realities</w:t>
      </w:r>
      <w:r w:rsidRPr="0080626F">
        <w:rPr>
          <w:rFonts w:ascii="Times New Roman" w:hAnsi="Times New Roman" w:cs="Times New Roman"/>
          <w:sz w:val="26"/>
          <w:szCs w:val="26"/>
        </w:rPr>
        <w:t xml:space="preserve">). </w:t>
      </w:r>
    </w:p>
    <w:p w:rsidR="009D397E" w:rsidRPr="0080626F" w:rsidRDefault="009D397E" w:rsidP="00A758AC">
      <w:pPr>
        <w:spacing w:before="120" w:after="120" w:line="240" w:lineRule="exact"/>
        <w:ind w:firstLine="680"/>
        <w:jc w:val="both"/>
        <w:rPr>
          <w:rFonts w:ascii="Times New Roman" w:hAnsi="Times New Roman" w:cs="Times New Roman"/>
          <w:sz w:val="26"/>
          <w:szCs w:val="26"/>
        </w:rPr>
      </w:pPr>
      <w:r w:rsidRPr="0080626F">
        <w:rPr>
          <w:rFonts w:ascii="Times New Roman" w:hAnsi="Times New Roman" w:cs="Times New Roman"/>
          <w:i/>
          <w:sz w:val="26"/>
          <w:szCs w:val="26"/>
        </w:rPr>
        <w:t xml:space="preserve">Jauhar al-Haqa’iq </w:t>
      </w:r>
      <w:r w:rsidRPr="0080626F">
        <w:rPr>
          <w:rFonts w:ascii="Times New Roman" w:hAnsi="Times New Roman" w:cs="Times New Roman"/>
          <w:sz w:val="26"/>
          <w:szCs w:val="26"/>
        </w:rPr>
        <w:t xml:space="preserve">mendemonstrasikan esensi pemikiran dan kedalaman spiritualitas Syamsuddin al-Sumaterani terutama yang berkenaan dengan martabat tujuh sebagai pengembangan dari ajaran </w:t>
      </w:r>
      <w:r w:rsidRPr="0080626F">
        <w:rPr>
          <w:rFonts w:ascii="Times New Roman" w:hAnsi="Times New Roman" w:cs="Times New Roman"/>
          <w:i/>
          <w:sz w:val="26"/>
          <w:szCs w:val="26"/>
        </w:rPr>
        <w:t>wahdat al-wujud</w:t>
      </w:r>
      <w:r w:rsidRPr="0080626F">
        <w:rPr>
          <w:rFonts w:ascii="Times New Roman" w:hAnsi="Times New Roman" w:cs="Times New Roman"/>
          <w:sz w:val="26"/>
          <w:szCs w:val="26"/>
        </w:rPr>
        <w:t xml:space="preserve">. Kajian tentang martabat tujuh di Nusantara sering disandarkan pada kitab </w:t>
      </w:r>
      <w:r w:rsidRPr="0080626F">
        <w:rPr>
          <w:rFonts w:ascii="Times New Roman" w:hAnsi="Times New Roman" w:cs="Times New Roman"/>
          <w:i/>
          <w:sz w:val="26"/>
          <w:szCs w:val="26"/>
        </w:rPr>
        <w:t xml:space="preserve">Tuhfah al-Mursalah ila Ruh al-Nabi </w:t>
      </w:r>
      <w:r w:rsidRPr="0080626F">
        <w:rPr>
          <w:rFonts w:ascii="Times New Roman" w:hAnsi="Times New Roman" w:cs="Times New Roman"/>
          <w:sz w:val="26"/>
          <w:szCs w:val="26"/>
        </w:rPr>
        <w:t xml:space="preserve">karangan Fadhullah al-Burhanpuri (1620) dan </w:t>
      </w:r>
      <w:r w:rsidRPr="0080626F">
        <w:rPr>
          <w:rFonts w:ascii="Times New Roman" w:hAnsi="Times New Roman" w:cs="Times New Roman"/>
          <w:i/>
          <w:sz w:val="26"/>
          <w:szCs w:val="26"/>
        </w:rPr>
        <w:lastRenderedPageBreak/>
        <w:t xml:space="preserve">Jauhar al-Haqa’iq </w:t>
      </w:r>
      <w:r w:rsidRPr="0080626F">
        <w:rPr>
          <w:rFonts w:ascii="Times New Roman" w:hAnsi="Times New Roman" w:cs="Times New Roman"/>
          <w:sz w:val="26"/>
          <w:szCs w:val="26"/>
        </w:rPr>
        <w:t xml:space="preserve">sering juga dianggap sebagai pengembangannya. Belakangan hal ini dibantah secara serius oleh AH. Johns, sosok yang banyak menghabiskan waktunya untuk mengkaji Syamsuddin al-Sumaterani. Menurutnya </w:t>
      </w:r>
      <w:r w:rsidRPr="0080626F">
        <w:rPr>
          <w:rFonts w:ascii="Times New Roman" w:hAnsi="Times New Roman" w:cs="Times New Roman"/>
          <w:i/>
          <w:sz w:val="26"/>
          <w:szCs w:val="26"/>
        </w:rPr>
        <w:t>Jauhar al-Haqa’iq</w:t>
      </w:r>
      <w:r w:rsidRPr="0080626F">
        <w:rPr>
          <w:rFonts w:ascii="Times New Roman" w:hAnsi="Times New Roman" w:cs="Times New Roman"/>
          <w:sz w:val="26"/>
          <w:szCs w:val="26"/>
        </w:rPr>
        <w:t xml:space="preserve"> lebih kaya dimensi spiritualitasnya dibanding </w:t>
      </w:r>
      <w:r w:rsidRPr="0080626F">
        <w:rPr>
          <w:rFonts w:ascii="Times New Roman" w:hAnsi="Times New Roman" w:cs="Times New Roman"/>
          <w:i/>
          <w:sz w:val="26"/>
          <w:szCs w:val="26"/>
        </w:rPr>
        <w:t>Tuhfah al-Mursalah</w:t>
      </w:r>
      <w:r w:rsidRPr="0080626F">
        <w:rPr>
          <w:rFonts w:ascii="Times New Roman" w:hAnsi="Times New Roman" w:cs="Times New Roman"/>
          <w:sz w:val="26"/>
          <w:szCs w:val="26"/>
        </w:rPr>
        <w:t xml:space="preserve">. Jika </w:t>
      </w:r>
      <w:r w:rsidRPr="0080626F">
        <w:rPr>
          <w:rFonts w:ascii="Times New Roman" w:hAnsi="Times New Roman" w:cs="Times New Roman"/>
          <w:i/>
          <w:sz w:val="26"/>
          <w:szCs w:val="26"/>
        </w:rPr>
        <w:t>Tuhfah al-Mursalah</w:t>
      </w:r>
      <w:r w:rsidRPr="0080626F">
        <w:rPr>
          <w:rFonts w:ascii="Times New Roman" w:hAnsi="Times New Roman" w:cs="Times New Roman"/>
          <w:sz w:val="26"/>
          <w:szCs w:val="26"/>
        </w:rPr>
        <w:t xml:space="preserve"> diibaratkan dengan koper (</w:t>
      </w:r>
      <w:r w:rsidRPr="0080626F">
        <w:rPr>
          <w:rFonts w:ascii="Times New Roman" w:hAnsi="Times New Roman" w:cs="Times New Roman"/>
          <w:i/>
          <w:sz w:val="26"/>
          <w:szCs w:val="26"/>
        </w:rPr>
        <w:t>portmanteau</w:t>
      </w:r>
      <w:r w:rsidRPr="0080626F">
        <w:rPr>
          <w:rFonts w:ascii="Times New Roman" w:hAnsi="Times New Roman" w:cs="Times New Roman"/>
          <w:sz w:val="26"/>
          <w:szCs w:val="26"/>
        </w:rPr>
        <w:t xml:space="preserve">), maka </w:t>
      </w:r>
      <w:r w:rsidRPr="0080626F">
        <w:rPr>
          <w:rFonts w:ascii="Times New Roman" w:hAnsi="Times New Roman" w:cs="Times New Roman"/>
          <w:i/>
          <w:sz w:val="26"/>
          <w:szCs w:val="26"/>
        </w:rPr>
        <w:t>Jauhar al-Haqa’iq</w:t>
      </w:r>
      <w:r w:rsidRPr="0080626F">
        <w:rPr>
          <w:rFonts w:ascii="Times New Roman" w:hAnsi="Times New Roman" w:cs="Times New Roman"/>
          <w:sz w:val="26"/>
          <w:szCs w:val="26"/>
        </w:rPr>
        <w:t xml:space="preserve"> berhasil mengurai dan menulis komentar yang tidak sebatas menjelaskan, tetapi juga mengelaborasi dan mengembangkannya secara mendalam.</w:t>
      </w:r>
    </w:p>
    <w:p w:rsidR="00384976" w:rsidRPr="0080626F" w:rsidRDefault="00384976" w:rsidP="00384976">
      <w:pPr>
        <w:spacing w:line="360" w:lineRule="auto"/>
        <w:jc w:val="center"/>
        <w:rPr>
          <w:rFonts w:ascii="Times New Roman" w:hAnsi="Times New Roman" w:cs="Times New Roman"/>
          <w:sz w:val="26"/>
          <w:szCs w:val="26"/>
        </w:rPr>
      </w:pPr>
    </w:p>
    <w:p w:rsidR="00384976" w:rsidRPr="0080626F" w:rsidRDefault="00384976" w:rsidP="00384976">
      <w:pPr>
        <w:spacing w:line="360" w:lineRule="auto"/>
        <w:jc w:val="center"/>
        <w:rPr>
          <w:rFonts w:ascii="Times New Roman" w:hAnsi="Times New Roman" w:cs="Times New Roman"/>
          <w:sz w:val="26"/>
          <w:szCs w:val="26"/>
        </w:rPr>
      </w:pPr>
    </w:p>
    <w:p w:rsidR="00384976" w:rsidRPr="0080626F" w:rsidRDefault="00384976" w:rsidP="00384976">
      <w:pPr>
        <w:spacing w:line="360" w:lineRule="auto"/>
        <w:jc w:val="center"/>
        <w:rPr>
          <w:rFonts w:ascii="Times New Roman" w:hAnsi="Times New Roman" w:cs="Times New Roman"/>
          <w:sz w:val="26"/>
          <w:szCs w:val="26"/>
        </w:rPr>
      </w:pPr>
    </w:p>
    <w:p w:rsidR="00384976" w:rsidRDefault="00384976" w:rsidP="00384976">
      <w:pPr>
        <w:spacing w:line="360" w:lineRule="auto"/>
        <w:jc w:val="center"/>
        <w:rPr>
          <w:rFonts w:ascii="Times New Roman" w:hAnsi="Times New Roman" w:cs="Times New Roman"/>
          <w:sz w:val="26"/>
          <w:szCs w:val="26"/>
        </w:rPr>
      </w:pPr>
    </w:p>
    <w:p w:rsidR="00A758AC" w:rsidRDefault="00A758AC" w:rsidP="00384976">
      <w:pPr>
        <w:spacing w:line="360" w:lineRule="auto"/>
        <w:jc w:val="center"/>
        <w:rPr>
          <w:rFonts w:ascii="Times New Roman" w:hAnsi="Times New Roman" w:cs="Times New Roman"/>
          <w:sz w:val="26"/>
          <w:szCs w:val="26"/>
        </w:rPr>
      </w:pPr>
    </w:p>
    <w:p w:rsidR="00A758AC" w:rsidRDefault="00A758AC" w:rsidP="00384976">
      <w:pPr>
        <w:spacing w:line="360" w:lineRule="auto"/>
        <w:jc w:val="center"/>
        <w:rPr>
          <w:rFonts w:ascii="Times New Roman" w:hAnsi="Times New Roman" w:cs="Times New Roman"/>
          <w:sz w:val="26"/>
          <w:szCs w:val="26"/>
        </w:rPr>
      </w:pPr>
    </w:p>
    <w:p w:rsidR="00A758AC" w:rsidRDefault="00A758AC" w:rsidP="00384976">
      <w:pPr>
        <w:spacing w:line="360" w:lineRule="auto"/>
        <w:jc w:val="center"/>
        <w:rPr>
          <w:rFonts w:ascii="Times New Roman" w:hAnsi="Times New Roman" w:cs="Times New Roman"/>
          <w:sz w:val="26"/>
          <w:szCs w:val="26"/>
        </w:rPr>
      </w:pPr>
    </w:p>
    <w:p w:rsidR="00A758AC" w:rsidRDefault="00A758AC" w:rsidP="00384976">
      <w:pPr>
        <w:spacing w:line="360" w:lineRule="auto"/>
        <w:jc w:val="center"/>
        <w:rPr>
          <w:rFonts w:ascii="Times New Roman" w:hAnsi="Times New Roman" w:cs="Times New Roman"/>
          <w:sz w:val="26"/>
          <w:szCs w:val="26"/>
        </w:rPr>
      </w:pPr>
    </w:p>
    <w:p w:rsidR="00A758AC" w:rsidRDefault="00A758AC" w:rsidP="00384976">
      <w:pPr>
        <w:spacing w:line="360" w:lineRule="auto"/>
        <w:jc w:val="center"/>
        <w:rPr>
          <w:rFonts w:ascii="Times New Roman" w:hAnsi="Times New Roman" w:cs="Times New Roman"/>
          <w:sz w:val="26"/>
          <w:szCs w:val="26"/>
        </w:rPr>
      </w:pPr>
    </w:p>
    <w:p w:rsidR="00A758AC" w:rsidRDefault="00A758AC" w:rsidP="00384976">
      <w:pPr>
        <w:spacing w:line="360" w:lineRule="auto"/>
        <w:jc w:val="center"/>
        <w:rPr>
          <w:rFonts w:ascii="Times New Roman" w:hAnsi="Times New Roman" w:cs="Times New Roman"/>
          <w:sz w:val="26"/>
          <w:szCs w:val="26"/>
        </w:rPr>
      </w:pPr>
    </w:p>
    <w:p w:rsidR="00A758AC" w:rsidRDefault="00A758AC" w:rsidP="00384976">
      <w:pPr>
        <w:spacing w:line="360" w:lineRule="auto"/>
        <w:jc w:val="center"/>
        <w:rPr>
          <w:rFonts w:ascii="Times New Roman" w:hAnsi="Times New Roman" w:cs="Times New Roman"/>
          <w:sz w:val="26"/>
          <w:szCs w:val="26"/>
        </w:rPr>
      </w:pPr>
    </w:p>
    <w:p w:rsidR="00A758AC" w:rsidRDefault="00A758AC" w:rsidP="00384976">
      <w:pPr>
        <w:spacing w:line="360" w:lineRule="auto"/>
        <w:jc w:val="center"/>
        <w:rPr>
          <w:rFonts w:ascii="Times New Roman" w:hAnsi="Times New Roman" w:cs="Times New Roman"/>
          <w:sz w:val="26"/>
          <w:szCs w:val="26"/>
        </w:rPr>
      </w:pPr>
    </w:p>
    <w:p w:rsidR="00A758AC" w:rsidRDefault="00A758AC" w:rsidP="00384976">
      <w:pPr>
        <w:spacing w:line="360" w:lineRule="auto"/>
        <w:jc w:val="center"/>
        <w:rPr>
          <w:rFonts w:ascii="Times New Roman" w:hAnsi="Times New Roman" w:cs="Times New Roman"/>
          <w:sz w:val="26"/>
          <w:szCs w:val="26"/>
        </w:rPr>
      </w:pPr>
    </w:p>
    <w:p w:rsidR="00A758AC" w:rsidRDefault="00A758AC" w:rsidP="00384976">
      <w:pPr>
        <w:spacing w:line="360" w:lineRule="auto"/>
        <w:jc w:val="center"/>
        <w:rPr>
          <w:rFonts w:ascii="Times New Roman" w:hAnsi="Times New Roman" w:cs="Times New Roman"/>
          <w:sz w:val="26"/>
          <w:szCs w:val="26"/>
        </w:rPr>
      </w:pPr>
    </w:p>
    <w:p w:rsidR="00A758AC" w:rsidRDefault="00A758AC" w:rsidP="00384976">
      <w:pPr>
        <w:spacing w:line="360" w:lineRule="auto"/>
        <w:jc w:val="center"/>
        <w:rPr>
          <w:rFonts w:ascii="Times New Roman" w:hAnsi="Times New Roman" w:cs="Times New Roman"/>
          <w:sz w:val="26"/>
          <w:szCs w:val="26"/>
        </w:rPr>
      </w:pPr>
    </w:p>
    <w:p w:rsidR="00A758AC" w:rsidRDefault="00A758AC" w:rsidP="00384976">
      <w:pPr>
        <w:spacing w:line="360" w:lineRule="auto"/>
        <w:jc w:val="center"/>
        <w:rPr>
          <w:rFonts w:ascii="Times New Roman" w:hAnsi="Times New Roman" w:cs="Times New Roman"/>
          <w:sz w:val="26"/>
          <w:szCs w:val="26"/>
        </w:rPr>
      </w:pPr>
    </w:p>
    <w:p w:rsidR="00A758AC" w:rsidRDefault="00A758AC" w:rsidP="00384976">
      <w:pPr>
        <w:spacing w:line="360" w:lineRule="auto"/>
        <w:jc w:val="center"/>
        <w:rPr>
          <w:rFonts w:ascii="Times New Roman" w:hAnsi="Times New Roman" w:cs="Times New Roman"/>
          <w:sz w:val="26"/>
          <w:szCs w:val="26"/>
        </w:rPr>
      </w:pPr>
    </w:p>
    <w:p w:rsidR="00A758AC" w:rsidRPr="0080626F" w:rsidRDefault="00A758AC" w:rsidP="00A758AC">
      <w:pPr>
        <w:spacing w:line="360" w:lineRule="auto"/>
        <w:rPr>
          <w:rFonts w:ascii="Times New Roman" w:hAnsi="Times New Roman" w:cs="Times New Roman"/>
          <w:sz w:val="26"/>
          <w:szCs w:val="26"/>
        </w:rPr>
      </w:pPr>
    </w:p>
    <w:p w:rsidR="00410DD4" w:rsidRPr="0080626F" w:rsidRDefault="00384976" w:rsidP="00384976">
      <w:pPr>
        <w:spacing w:line="360" w:lineRule="auto"/>
        <w:jc w:val="center"/>
        <w:rPr>
          <w:rFonts w:ascii="Times New Roman" w:hAnsi="Times New Roman" w:cs="Times New Roman"/>
          <w:sz w:val="26"/>
          <w:szCs w:val="26"/>
        </w:rPr>
      </w:pPr>
      <w:r w:rsidRPr="0080626F">
        <w:rPr>
          <w:rFonts w:ascii="Times New Roman" w:hAnsi="Times New Roman" w:cs="Times New Roman"/>
          <w:sz w:val="26"/>
          <w:szCs w:val="26"/>
        </w:rPr>
        <w:lastRenderedPageBreak/>
        <w:t>KATA PENGANTAR</w:t>
      </w:r>
    </w:p>
    <w:p w:rsidR="00384976" w:rsidRPr="0080626F" w:rsidRDefault="00384976" w:rsidP="00384976">
      <w:pPr>
        <w:spacing w:line="360" w:lineRule="auto"/>
        <w:jc w:val="center"/>
        <w:rPr>
          <w:rFonts w:ascii="Times New Roman" w:hAnsi="Times New Roman" w:cs="Times New Roman"/>
          <w:sz w:val="26"/>
          <w:szCs w:val="26"/>
        </w:rPr>
      </w:pPr>
    </w:p>
    <w:p w:rsidR="00410DD4" w:rsidRPr="0080626F" w:rsidRDefault="00410DD4" w:rsidP="00410DD4">
      <w:pPr>
        <w:spacing w:before="120" w:after="120" w:line="360" w:lineRule="auto"/>
        <w:ind w:firstLine="680"/>
        <w:jc w:val="both"/>
        <w:rPr>
          <w:rFonts w:ascii="Times New Roman" w:hAnsi="Times New Roman" w:cs="Times New Roman"/>
          <w:sz w:val="26"/>
          <w:szCs w:val="26"/>
        </w:rPr>
      </w:pPr>
      <w:proofErr w:type="spellStart"/>
      <w:proofErr w:type="gramStart"/>
      <w:r w:rsidRPr="0080626F">
        <w:rPr>
          <w:rFonts w:ascii="Times New Roman" w:hAnsi="Times New Roman" w:cs="Times New Roman"/>
          <w:i/>
          <w:sz w:val="26"/>
          <w:szCs w:val="26"/>
        </w:rPr>
        <w:t>Alhamd</w:t>
      </w:r>
      <w:proofErr w:type="spellEnd"/>
      <w:r w:rsidRPr="0080626F">
        <w:rPr>
          <w:rFonts w:ascii="Times New Roman" w:hAnsi="Times New Roman" w:cs="Times New Roman"/>
          <w:i/>
          <w:sz w:val="26"/>
          <w:szCs w:val="26"/>
        </w:rPr>
        <w:t xml:space="preserve"> </w:t>
      </w:r>
      <w:proofErr w:type="spellStart"/>
      <w:r w:rsidRPr="0080626F">
        <w:rPr>
          <w:rFonts w:ascii="Times New Roman" w:hAnsi="Times New Roman" w:cs="Times New Roman"/>
          <w:i/>
          <w:sz w:val="26"/>
          <w:szCs w:val="26"/>
        </w:rPr>
        <w:t>lillahi</w:t>
      </w:r>
      <w:proofErr w:type="spellEnd"/>
      <w:r w:rsidRPr="0080626F">
        <w:rPr>
          <w:rFonts w:ascii="Times New Roman" w:hAnsi="Times New Roman" w:cs="Times New Roman"/>
          <w:i/>
          <w:sz w:val="26"/>
          <w:szCs w:val="26"/>
        </w:rPr>
        <w:t xml:space="preserve"> </w:t>
      </w:r>
      <w:proofErr w:type="spellStart"/>
      <w:r w:rsidRPr="0080626F">
        <w:rPr>
          <w:rFonts w:ascii="Times New Roman" w:hAnsi="Times New Roman" w:cs="Times New Roman"/>
          <w:i/>
          <w:sz w:val="26"/>
          <w:szCs w:val="26"/>
        </w:rPr>
        <w:t>rab</w:t>
      </w:r>
      <w:proofErr w:type="spellEnd"/>
      <w:r w:rsidRPr="0080626F">
        <w:rPr>
          <w:rFonts w:ascii="Times New Roman" w:hAnsi="Times New Roman" w:cs="Times New Roman"/>
          <w:i/>
          <w:sz w:val="26"/>
          <w:szCs w:val="26"/>
        </w:rPr>
        <w:t xml:space="preserve"> al-</w:t>
      </w:r>
      <w:proofErr w:type="spellStart"/>
      <w:r w:rsidRPr="0080626F">
        <w:rPr>
          <w:rFonts w:ascii="Times New Roman" w:hAnsi="Times New Roman" w:cs="Times New Roman"/>
          <w:i/>
          <w:sz w:val="26"/>
          <w:szCs w:val="26"/>
        </w:rPr>
        <w:t>alamin</w:t>
      </w:r>
      <w:proofErr w:type="spellEnd"/>
      <w:r w:rsidRPr="0080626F">
        <w:rPr>
          <w:rFonts w:ascii="Times New Roman" w:hAnsi="Times New Roman" w:cs="Times New Roman"/>
          <w:sz w:val="26"/>
          <w:szCs w:val="26"/>
        </w:rPr>
        <w:t xml:space="preserve">, puja </w:t>
      </w:r>
      <w:proofErr w:type="spellStart"/>
      <w:r w:rsidRPr="0080626F">
        <w:rPr>
          <w:rFonts w:ascii="Times New Roman" w:hAnsi="Times New Roman" w:cs="Times New Roman"/>
          <w:sz w:val="26"/>
          <w:szCs w:val="26"/>
        </w:rPr>
        <w:t>dan</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puji</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syukur</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penulis</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panjatkan</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pada</w:t>
      </w:r>
      <w:proofErr w:type="spellEnd"/>
      <w:r w:rsidRPr="0080626F">
        <w:rPr>
          <w:rFonts w:ascii="Times New Roman" w:hAnsi="Times New Roman" w:cs="Times New Roman"/>
          <w:sz w:val="26"/>
          <w:szCs w:val="26"/>
        </w:rPr>
        <w:t xml:space="preserve"> Allah SWT </w:t>
      </w:r>
      <w:proofErr w:type="spellStart"/>
      <w:r w:rsidRPr="0080626F">
        <w:rPr>
          <w:rFonts w:ascii="Times New Roman" w:hAnsi="Times New Roman" w:cs="Times New Roman"/>
          <w:sz w:val="26"/>
          <w:szCs w:val="26"/>
        </w:rPr>
        <w:t>atas</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berkah</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dan</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ma’unahnya</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akhirnya</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penelitian</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ini</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dapat</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diselesaikan</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sesuai</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dengan</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waktu</w:t>
      </w:r>
      <w:proofErr w:type="spellEnd"/>
      <w:r w:rsidRPr="0080626F">
        <w:rPr>
          <w:rFonts w:ascii="Times New Roman" w:hAnsi="Times New Roman" w:cs="Times New Roman"/>
          <w:sz w:val="26"/>
          <w:szCs w:val="26"/>
        </w:rPr>
        <w:t xml:space="preserve"> yang </w:t>
      </w:r>
      <w:proofErr w:type="spellStart"/>
      <w:r w:rsidRPr="0080626F">
        <w:rPr>
          <w:rFonts w:ascii="Times New Roman" w:hAnsi="Times New Roman" w:cs="Times New Roman"/>
          <w:sz w:val="26"/>
          <w:szCs w:val="26"/>
        </w:rPr>
        <w:t>telah</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ditentukan</w:t>
      </w:r>
      <w:proofErr w:type="spellEnd"/>
      <w:r w:rsidRPr="0080626F">
        <w:rPr>
          <w:rFonts w:ascii="Times New Roman" w:hAnsi="Times New Roman" w:cs="Times New Roman"/>
          <w:sz w:val="26"/>
          <w:szCs w:val="26"/>
        </w:rPr>
        <w:t>.</w:t>
      </w:r>
      <w:proofErr w:type="gram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Shalawat</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dan</w:t>
      </w:r>
      <w:proofErr w:type="spellEnd"/>
      <w:r w:rsidRPr="0080626F">
        <w:rPr>
          <w:rFonts w:ascii="Times New Roman" w:hAnsi="Times New Roman" w:cs="Times New Roman"/>
          <w:sz w:val="26"/>
          <w:szCs w:val="26"/>
        </w:rPr>
        <w:t xml:space="preserve"> </w:t>
      </w:r>
      <w:proofErr w:type="spellStart"/>
      <w:proofErr w:type="gramStart"/>
      <w:r w:rsidRPr="0080626F">
        <w:rPr>
          <w:rFonts w:ascii="Times New Roman" w:hAnsi="Times New Roman" w:cs="Times New Roman"/>
          <w:sz w:val="26"/>
          <w:szCs w:val="26"/>
        </w:rPr>
        <w:t>salam</w:t>
      </w:r>
      <w:proofErr w:type="spellEnd"/>
      <w:proofErr w:type="gram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selalu</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tercurah</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pada</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i/>
          <w:sz w:val="26"/>
          <w:szCs w:val="26"/>
        </w:rPr>
        <w:t>khair</w:t>
      </w:r>
      <w:proofErr w:type="spellEnd"/>
      <w:r w:rsidRPr="0080626F">
        <w:rPr>
          <w:rFonts w:ascii="Times New Roman" w:hAnsi="Times New Roman" w:cs="Times New Roman"/>
          <w:i/>
          <w:sz w:val="26"/>
          <w:szCs w:val="26"/>
        </w:rPr>
        <w:t xml:space="preserve"> al-</w:t>
      </w:r>
      <w:proofErr w:type="spellStart"/>
      <w:r w:rsidRPr="0080626F">
        <w:rPr>
          <w:rFonts w:ascii="Times New Roman" w:hAnsi="Times New Roman" w:cs="Times New Roman"/>
          <w:i/>
          <w:sz w:val="26"/>
          <w:szCs w:val="26"/>
        </w:rPr>
        <w:t>anam</w:t>
      </w:r>
      <w:proofErr w:type="spellEnd"/>
      <w:r w:rsidRPr="0080626F">
        <w:rPr>
          <w:rFonts w:ascii="Times New Roman" w:hAnsi="Times New Roman" w:cs="Times New Roman"/>
          <w:i/>
          <w:sz w:val="26"/>
          <w:szCs w:val="26"/>
        </w:rPr>
        <w:t xml:space="preserve"> </w:t>
      </w:r>
      <w:r w:rsidRPr="0080626F">
        <w:rPr>
          <w:rFonts w:ascii="Times New Roman" w:hAnsi="Times New Roman" w:cs="Times New Roman"/>
          <w:sz w:val="26"/>
          <w:szCs w:val="26"/>
        </w:rPr>
        <w:t xml:space="preserve">Muhammad SAW, </w:t>
      </w:r>
      <w:proofErr w:type="spellStart"/>
      <w:r w:rsidRPr="0080626F">
        <w:rPr>
          <w:rFonts w:ascii="Times New Roman" w:hAnsi="Times New Roman" w:cs="Times New Roman"/>
          <w:sz w:val="26"/>
          <w:szCs w:val="26"/>
        </w:rPr>
        <w:t>semoga</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kita</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semua</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selalu</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konsisten</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dalam</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ajarannya</w:t>
      </w:r>
      <w:proofErr w:type="spellEnd"/>
      <w:r w:rsidRPr="0080626F">
        <w:rPr>
          <w:rFonts w:ascii="Times New Roman" w:hAnsi="Times New Roman" w:cs="Times New Roman"/>
          <w:sz w:val="26"/>
          <w:szCs w:val="26"/>
        </w:rPr>
        <w:t>.</w:t>
      </w:r>
    </w:p>
    <w:p w:rsidR="00410DD4" w:rsidRPr="0080626F" w:rsidRDefault="00410DD4" w:rsidP="00410DD4">
      <w:pPr>
        <w:spacing w:before="120" w:after="120" w:line="360" w:lineRule="auto"/>
        <w:ind w:firstLine="680"/>
        <w:jc w:val="both"/>
        <w:rPr>
          <w:rFonts w:ascii="Times New Roman" w:hAnsi="Times New Roman" w:cs="Times New Roman"/>
          <w:sz w:val="26"/>
          <w:szCs w:val="26"/>
        </w:rPr>
      </w:pPr>
      <w:proofErr w:type="spellStart"/>
      <w:proofErr w:type="gramStart"/>
      <w:r w:rsidRPr="0080626F">
        <w:rPr>
          <w:rFonts w:ascii="Times New Roman" w:hAnsi="Times New Roman" w:cs="Times New Roman"/>
          <w:sz w:val="26"/>
          <w:szCs w:val="26"/>
        </w:rPr>
        <w:t>Penelitian</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ini</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berjudul</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i/>
          <w:sz w:val="26"/>
          <w:szCs w:val="26"/>
        </w:rPr>
        <w:t>Pemikiran</w:t>
      </w:r>
      <w:proofErr w:type="spellEnd"/>
      <w:r w:rsidRPr="0080626F">
        <w:rPr>
          <w:rFonts w:ascii="Times New Roman" w:hAnsi="Times New Roman" w:cs="Times New Roman"/>
          <w:i/>
          <w:sz w:val="26"/>
          <w:szCs w:val="26"/>
        </w:rPr>
        <w:t xml:space="preserve"> </w:t>
      </w:r>
      <w:proofErr w:type="spellStart"/>
      <w:r w:rsidRPr="0080626F">
        <w:rPr>
          <w:rFonts w:ascii="Times New Roman" w:hAnsi="Times New Roman" w:cs="Times New Roman"/>
          <w:i/>
          <w:sz w:val="26"/>
          <w:szCs w:val="26"/>
        </w:rPr>
        <w:t>Syamsuddin</w:t>
      </w:r>
      <w:proofErr w:type="spellEnd"/>
      <w:r w:rsidRPr="0080626F">
        <w:rPr>
          <w:rFonts w:ascii="Times New Roman" w:hAnsi="Times New Roman" w:cs="Times New Roman"/>
          <w:i/>
          <w:sz w:val="26"/>
          <w:szCs w:val="26"/>
        </w:rPr>
        <w:t xml:space="preserve"> al-</w:t>
      </w:r>
      <w:proofErr w:type="spellStart"/>
      <w:r w:rsidRPr="0080626F">
        <w:rPr>
          <w:rFonts w:ascii="Times New Roman" w:hAnsi="Times New Roman" w:cs="Times New Roman"/>
          <w:i/>
          <w:sz w:val="26"/>
          <w:szCs w:val="26"/>
        </w:rPr>
        <w:t>Sumatrani</w:t>
      </w:r>
      <w:proofErr w:type="spellEnd"/>
      <w:r w:rsidRPr="0080626F">
        <w:rPr>
          <w:rFonts w:ascii="Times New Roman" w:hAnsi="Times New Roman" w:cs="Times New Roman"/>
          <w:i/>
          <w:sz w:val="26"/>
          <w:szCs w:val="26"/>
        </w:rPr>
        <w:t xml:space="preserve"> </w:t>
      </w:r>
      <w:proofErr w:type="spellStart"/>
      <w:r w:rsidRPr="0080626F">
        <w:rPr>
          <w:rFonts w:ascii="Times New Roman" w:hAnsi="Times New Roman" w:cs="Times New Roman"/>
          <w:i/>
          <w:sz w:val="26"/>
          <w:szCs w:val="26"/>
        </w:rPr>
        <w:t>tentang</w:t>
      </w:r>
      <w:proofErr w:type="spellEnd"/>
      <w:r w:rsidRPr="0080626F">
        <w:rPr>
          <w:rFonts w:ascii="Times New Roman" w:hAnsi="Times New Roman" w:cs="Times New Roman"/>
          <w:i/>
          <w:sz w:val="26"/>
          <w:szCs w:val="26"/>
        </w:rPr>
        <w:t xml:space="preserve"> </w:t>
      </w:r>
      <w:proofErr w:type="spellStart"/>
      <w:r w:rsidRPr="0080626F">
        <w:rPr>
          <w:rFonts w:ascii="Times New Roman" w:hAnsi="Times New Roman" w:cs="Times New Roman"/>
          <w:i/>
          <w:sz w:val="26"/>
          <w:szCs w:val="26"/>
        </w:rPr>
        <w:t>Martabat</w:t>
      </w:r>
      <w:proofErr w:type="spellEnd"/>
      <w:r w:rsidRPr="0080626F">
        <w:rPr>
          <w:rFonts w:ascii="Times New Roman" w:hAnsi="Times New Roman" w:cs="Times New Roman"/>
          <w:i/>
          <w:sz w:val="26"/>
          <w:szCs w:val="26"/>
        </w:rPr>
        <w:t xml:space="preserve"> </w:t>
      </w:r>
      <w:proofErr w:type="spellStart"/>
      <w:r w:rsidRPr="0080626F">
        <w:rPr>
          <w:rFonts w:ascii="Times New Roman" w:hAnsi="Times New Roman" w:cs="Times New Roman"/>
          <w:i/>
          <w:sz w:val="26"/>
          <w:szCs w:val="26"/>
        </w:rPr>
        <w:t>Tujuh</w:t>
      </w:r>
      <w:proofErr w:type="spellEnd"/>
      <w:r w:rsidRPr="0080626F">
        <w:rPr>
          <w:rFonts w:ascii="Times New Roman" w:hAnsi="Times New Roman" w:cs="Times New Roman"/>
          <w:i/>
          <w:sz w:val="26"/>
          <w:szCs w:val="26"/>
        </w:rPr>
        <w:t xml:space="preserve"> </w:t>
      </w:r>
      <w:proofErr w:type="spellStart"/>
      <w:r w:rsidRPr="0080626F">
        <w:rPr>
          <w:rFonts w:ascii="Times New Roman" w:hAnsi="Times New Roman" w:cs="Times New Roman"/>
          <w:i/>
          <w:sz w:val="26"/>
          <w:szCs w:val="26"/>
        </w:rPr>
        <w:t>dalam</w:t>
      </w:r>
      <w:proofErr w:type="spellEnd"/>
      <w:r w:rsidRPr="0080626F">
        <w:rPr>
          <w:rFonts w:ascii="Times New Roman" w:hAnsi="Times New Roman" w:cs="Times New Roman"/>
          <w:i/>
          <w:sz w:val="26"/>
          <w:szCs w:val="26"/>
        </w:rPr>
        <w:t xml:space="preserve"> </w:t>
      </w:r>
      <w:proofErr w:type="spellStart"/>
      <w:r w:rsidRPr="0080626F">
        <w:rPr>
          <w:rFonts w:ascii="Times New Roman" w:hAnsi="Times New Roman" w:cs="Times New Roman"/>
          <w:i/>
          <w:sz w:val="26"/>
          <w:szCs w:val="26"/>
        </w:rPr>
        <w:t>Kitab</w:t>
      </w:r>
      <w:proofErr w:type="spellEnd"/>
      <w:r w:rsidRPr="0080626F">
        <w:rPr>
          <w:rFonts w:ascii="Times New Roman" w:hAnsi="Times New Roman" w:cs="Times New Roman"/>
          <w:i/>
          <w:sz w:val="26"/>
          <w:szCs w:val="26"/>
        </w:rPr>
        <w:t xml:space="preserve"> </w:t>
      </w:r>
      <w:proofErr w:type="spellStart"/>
      <w:r w:rsidRPr="0080626F">
        <w:rPr>
          <w:rFonts w:ascii="Times New Roman" w:hAnsi="Times New Roman" w:cs="Times New Roman"/>
          <w:i/>
          <w:sz w:val="26"/>
          <w:szCs w:val="26"/>
        </w:rPr>
        <w:t>Jauhar</w:t>
      </w:r>
      <w:proofErr w:type="spellEnd"/>
      <w:r w:rsidRPr="0080626F">
        <w:rPr>
          <w:rFonts w:ascii="Times New Roman" w:hAnsi="Times New Roman" w:cs="Times New Roman"/>
          <w:i/>
          <w:sz w:val="26"/>
          <w:szCs w:val="26"/>
        </w:rPr>
        <w:t xml:space="preserve"> al-</w:t>
      </w:r>
      <w:proofErr w:type="spellStart"/>
      <w:r w:rsidRPr="0080626F">
        <w:rPr>
          <w:rFonts w:ascii="Times New Roman" w:hAnsi="Times New Roman" w:cs="Times New Roman"/>
          <w:i/>
          <w:sz w:val="26"/>
          <w:szCs w:val="26"/>
        </w:rPr>
        <w:t>Haqa’iq</w:t>
      </w:r>
      <w:proofErr w:type="spellEnd"/>
      <w:r w:rsidR="004F0109" w:rsidRPr="0080626F">
        <w:rPr>
          <w:rFonts w:ascii="Times New Roman" w:hAnsi="Times New Roman" w:cs="Times New Roman"/>
          <w:sz w:val="26"/>
          <w:szCs w:val="26"/>
        </w:rPr>
        <w:t>.</w:t>
      </w:r>
      <w:proofErr w:type="gramEnd"/>
      <w:r w:rsidR="004F0109" w:rsidRPr="0080626F">
        <w:rPr>
          <w:rFonts w:ascii="Times New Roman" w:hAnsi="Times New Roman" w:cs="Times New Roman"/>
          <w:sz w:val="26"/>
          <w:szCs w:val="26"/>
        </w:rPr>
        <w:t xml:space="preserve"> </w:t>
      </w:r>
      <w:proofErr w:type="spellStart"/>
      <w:proofErr w:type="gramStart"/>
      <w:r w:rsidR="004F0109" w:rsidRPr="0080626F">
        <w:rPr>
          <w:rFonts w:ascii="Times New Roman" w:hAnsi="Times New Roman" w:cs="Times New Roman"/>
          <w:sz w:val="26"/>
          <w:szCs w:val="26"/>
        </w:rPr>
        <w:t>Syamsuddin</w:t>
      </w:r>
      <w:proofErr w:type="spellEnd"/>
      <w:r w:rsidR="004F0109" w:rsidRPr="0080626F">
        <w:rPr>
          <w:rFonts w:ascii="Times New Roman" w:hAnsi="Times New Roman" w:cs="Times New Roman"/>
          <w:sz w:val="26"/>
          <w:szCs w:val="26"/>
        </w:rPr>
        <w:t xml:space="preserve"> al-</w:t>
      </w:r>
      <w:proofErr w:type="spellStart"/>
      <w:r w:rsidR="004F0109" w:rsidRPr="0080626F">
        <w:rPr>
          <w:rFonts w:ascii="Times New Roman" w:hAnsi="Times New Roman" w:cs="Times New Roman"/>
          <w:sz w:val="26"/>
          <w:szCs w:val="26"/>
        </w:rPr>
        <w:t>Sumatrani</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merupakan</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salah</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satu</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tokoh</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penting</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dalam</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dinamika</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perkembangan</w:t>
      </w:r>
      <w:proofErr w:type="spellEnd"/>
      <w:r w:rsidR="004F0109" w:rsidRPr="0080626F">
        <w:rPr>
          <w:rFonts w:ascii="Times New Roman" w:hAnsi="Times New Roman" w:cs="Times New Roman"/>
          <w:sz w:val="26"/>
          <w:szCs w:val="26"/>
        </w:rPr>
        <w:t xml:space="preserve"> Islam di Nusantara.</w:t>
      </w:r>
      <w:proofErr w:type="gramEnd"/>
      <w:r w:rsidR="004F0109" w:rsidRPr="0080626F">
        <w:rPr>
          <w:rFonts w:ascii="Times New Roman" w:hAnsi="Times New Roman" w:cs="Times New Roman"/>
          <w:sz w:val="26"/>
          <w:szCs w:val="26"/>
        </w:rPr>
        <w:t xml:space="preserve"> </w:t>
      </w:r>
      <w:proofErr w:type="spellStart"/>
      <w:proofErr w:type="gramStart"/>
      <w:r w:rsidR="004F0109" w:rsidRPr="0080626F">
        <w:rPr>
          <w:rFonts w:ascii="Times New Roman" w:hAnsi="Times New Roman" w:cs="Times New Roman"/>
          <w:sz w:val="26"/>
          <w:szCs w:val="26"/>
        </w:rPr>
        <w:t>Adapun</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kitab</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i/>
          <w:sz w:val="26"/>
          <w:szCs w:val="26"/>
        </w:rPr>
        <w:t>Jauhar</w:t>
      </w:r>
      <w:proofErr w:type="spellEnd"/>
      <w:r w:rsidR="004F0109" w:rsidRPr="0080626F">
        <w:rPr>
          <w:rFonts w:ascii="Times New Roman" w:hAnsi="Times New Roman" w:cs="Times New Roman"/>
          <w:i/>
          <w:sz w:val="26"/>
          <w:szCs w:val="26"/>
        </w:rPr>
        <w:t xml:space="preserve"> al-</w:t>
      </w:r>
      <w:proofErr w:type="spellStart"/>
      <w:r w:rsidR="004F0109" w:rsidRPr="0080626F">
        <w:rPr>
          <w:rFonts w:ascii="Times New Roman" w:hAnsi="Times New Roman" w:cs="Times New Roman"/>
          <w:i/>
          <w:sz w:val="26"/>
          <w:szCs w:val="26"/>
        </w:rPr>
        <w:t>Haqa’iq</w:t>
      </w:r>
      <w:proofErr w:type="spellEnd"/>
      <w:r w:rsidR="004F0109" w:rsidRPr="0080626F">
        <w:rPr>
          <w:rFonts w:ascii="Times New Roman" w:hAnsi="Times New Roman" w:cs="Times New Roman"/>
          <w:i/>
          <w:sz w:val="26"/>
          <w:szCs w:val="26"/>
        </w:rPr>
        <w:t xml:space="preserve"> </w:t>
      </w:r>
      <w:r w:rsidR="004F0109" w:rsidRPr="0080626F">
        <w:rPr>
          <w:rFonts w:ascii="Times New Roman" w:hAnsi="Times New Roman" w:cs="Times New Roman"/>
          <w:sz w:val="26"/>
          <w:szCs w:val="26"/>
        </w:rPr>
        <w:t xml:space="preserve">yang </w:t>
      </w:r>
      <w:proofErr w:type="spellStart"/>
      <w:r w:rsidR="004F0109" w:rsidRPr="0080626F">
        <w:rPr>
          <w:rFonts w:ascii="Times New Roman" w:hAnsi="Times New Roman" w:cs="Times New Roman"/>
          <w:sz w:val="26"/>
          <w:szCs w:val="26"/>
        </w:rPr>
        <w:t>memuat</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penjelasan</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mendalam</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tentang</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i/>
          <w:sz w:val="26"/>
          <w:szCs w:val="26"/>
        </w:rPr>
        <w:t>Martabat</w:t>
      </w:r>
      <w:proofErr w:type="spellEnd"/>
      <w:r w:rsidR="004F0109" w:rsidRPr="0080626F">
        <w:rPr>
          <w:rFonts w:ascii="Times New Roman" w:hAnsi="Times New Roman" w:cs="Times New Roman"/>
          <w:i/>
          <w:sz w:val="26"/>
          <w:szCs w:val="26"/>
        </w:rPr>
        <w:t xml:space="preserve"> </w:t>
      </w:r>
      <w:proofErr w:type="spellStart"/>
      <w:r w:rsidR="004F0109" w:rsidRPr="0080626F">
        <w:rPr>
          <w:rFonts w:ascii="Times New Roman" w:hAnsi="Times New Roman" w:cs="Times New Roman"/>
          <w:i/>
          <w:sz w:val="26"/>
          <w:szCs w:val="26"/>
        </w:rPr>
        <w:t>Tujuh</w:t>
      </w:r>
      <w:proofErr w:type="spellEnd"/>
      <w:r w:rsidR="004F0109" w:rsidRPr="0080626F">
        <w:rPr>
          <w:rFonts w:ascii="Times New Roman" w:hAnsi="Times New Roman" w:cs="Times New Roman"/>
          <w:i/>
          <w:sz w:val="26"/>
          <w:szCs w:val="26"/>
        </w:rPr>
        <w:t xml:space="preserve"> </w:t>
      </w:r>
      <w:r w:rsidR="004F0109" w:rsidRPr="0080626F">
        <w:rPr>
          <w:rFonts w:ascii="Times New Roman" w:hAnsi="Times New Roman" w:cs="Times New Roman"/>
          <w:sz w:val="26"/>
          <w:szCs w:val="26"/>
        </w:rPr>
        <w:t xml:space="preserve">yang </w:t>
      </w:r>
      <w:proofErr w:type="spellStart"/>
      <w:r w:rsidR="004F0109" w:rsidRPr="0080626F">
        <w:rPr>
          <w:rFonts w:ascii="Times New Roman" w:hAnsi="Times New Roman" w:cs="Times New Roman"/>
          <w:sz w:val="26"/>
          <w:szCs w:val="26"/>
        </w:rPr>
        <w:t>merupakan</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pengembangan</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dari</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ajaran</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i/>
          <w:sz w:val="26"/>
          <w:szCs w:val="26"/>
        </w:rPr>
        <w:t>Wahdat</w:t>
      </w:r>
      <w:proofErr w:type="spellEnd"/>
      <w:r w:rsidR="004F0109" w:rsidRPr="0080626F">
        <w:rPr>
          <w:rFonts w:ascii="Times New Roman" w:hAnsi="Times New Roman" w:cs="Times New Roman"/>
          <w:i/>
          <w:sz w:val="26"/>
          <w:szCs w:val="26"/>
        </w:rPr>
        <w:t xml:space="preserve"> al-</w:t>
      </w:r>
      <w:proofErr w:type="spellStart"/>
      <w:r w:rsidR="004F0109" w:rsidRPr="0080626F">
        <w:rPr>
          <w:rFonts w:ascii="Times New Roman" w:hAnsi="Times New Roman" w:cs="Times New Roman"/>
          <w:i/>
          <w:sz w:val="26"/>
          <w:szCs w:val="26"/>
        </w:rPr>
        <w:t>Wujud</w:t>
      </w:r>
      <w:proofErr w:type="spellEnd"/>
      <w:r w:rsidR="004F0109" w:rsidRPr="0080626F">
        <w:rPr>
          <w:rFonts w:ascii="Times New Roman" w:hAnsi="Times New Roman" w:cs="Times New Roman"/>
          <w:i/>
          <w:sz w:val="26"/>
          <w:szCs w:val="26"/>
        </w:rPr>
        <w:t xml:space="preserve"> </w:t>
      </w:r>
      <w:proofErr w:type="spellStart"/>
      <w:r w:rsidR="004F0109" w:rsidRPr="0080626F">
        <w:rPr>
          <w:rFonts w:ascii="Times New Roman" w:hAnsi="Times New Roman" w:cs="Times New Roman"/>
          <w:i/>
          <w:sz w:val="26"/>
          <w:szCs w:val="26"/>
        </w:rPr>
        <w:t>Ibn</w:t>
      </w:r>
      <w:proofErr w:type="spellEnd"/>
      <w:r w:rsidR="004F0109" w:rsidRPr="0080626F">
        <w:rPr>
          <w:rFonts w:ascii="Times New Roman" w:hAnsi="Times New Roman" w:cs="Times New Roman"/>
          <w:i/>
          <w:sz w:val="26"/>
          <w:szCs w:val="26"/>
        </w:rPr>
        <w:t xml:space="preserve"> </w:t>
      </w:r>
      <w:proofErr w:type="spellStart"/>
      <w:r w:rsidR="004F0109" w:rsidRPr="0080626F">
        <w:rPr>
          <w:rFonts w:ascii="Times New Roman" w:hAnsi="Times New Roman" w:cs="Times New Roman"/>
          <w:i/>
          <w:sz w:val="26"/>
          <w:szCs w:val="26"/>
        </w:rPr>
        <w:t>Arabi</w:t>
      </w:r>
      <w:proofErr w:type="spellEnd"/>
      <w:r w:rsidR="004F0109" w:rsidRPr="0080626F">
        <w:rPr>
          <w:rFonts w:ascii="Times New Roman" w:hAnsi="Times New Roman" w:cs="Times New Roman"/>
          <w:i/>
          <w:sz w:val="26"/>
          <w:szCs w:val="26"/>
        </w:rPr>
        <w:t xml:space="preserve">, </w:t>
      </w:r>
      <w:proofErr w:type="spellStart"/>
      <w:r w:rsidR="004F0109" w:rsidRPr="0080626F">
        <w:rPr>
          <w:rFonts w:ascii="Times New Roman" w:hAnsi="Times New Roman" w:cs="Times New Roman"/>
          <w:sz w:val="26"/>
          <w:szCs w:val="26"/>
        </w:rPr>
        <w:t>merupakan</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kitab</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karangan</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ulama</w:t>
      </w:r>
      <w:proofErr w:type="spellEnd"/>
      <w:r w:rsidR="004F0109" w:rsidRPr="0080626F">
        <w:rPr>
          <w:rFonts w:ascii="Times New Roman" w:hAnsi="Times New Roman" w:cs="Times New Roman"/>
          <w:sz w:val="26"/>
          <w:szCs w:val="26"/>
        </w:rPr>
        <w:t xml:space="preserve"> Nusantara </w:t>
      </w:r>
      <w:proofErr w:type="spellStart"/>
      <w:r w:rsidR="004F0109" w:rsidRPr="0080626F">
        <w:rPr>
          <w:rFonts w:ascii="Times New Roman" w:hAnsi="Times New Roman" w:cs="Times New Roman"/>
          <w:sz w:val="26"/>
          <w:szCs w:val="26"/>
        </w:rPr>
        <w:t>pertama</w:t>
      </w:r>
      <w:proofErr w:type="spellEnd"/>
      <w:r w:rsidR="004F0109" w:rsidRPr="0080626F">
        <w:rPr>
          <w:rFonts w:ascii="Times New Roman" w:hAnsi="Times New Roman" w:cs="Times New Roman"/>
          <w:sz w:val="26"/>
          <w:szCs w:val="26"/>
        </w:rPr>
        <w:t xml:space="preserve"> yang </w:t>
      </w:r>
      <w:proofErr w:type="spellStart"/>
      <w:r w:rsidR="004F0109" w:rsidRPr="0080626F">
        <w:rPr>
          <w:rFonts w:ascii="Times New Roman" w:hAnsi="Times New Roman" w:cs="Times New Roman"/>
          <w:sz w:val="26"/>
          <w:szCs w:val="26"/>
        </w:rPr>
        <w:t>ditulis</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dengan</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bahasa</w:t>
      </w:r>
      <w:proofErr w:type="spellEnd"/>
      <w:r w:rsidR="004F0109" w:rsidRPr="0080626F">
        <w:rPr>
          <w:rFonts w:ascii="Times New Roman" w:hAnsi="Times New Roman" w:cs="Times New Roman"/>
          <w:sz w:val="26"/>
          <w:szCs w:val="26"/>
        </w:rPr>
        <w:t xml:space="preserve"> Arab.</w:t>
      </w:r>
      <w:proofErr w:type="gram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Berikutnya</w:t>
      </w:r>
      <w:r w:rsidRPr="0080626F">
        <w:rPr>
          <w:rFonts w:ascii="Times New Roman" w:hAnsi="Times New Roman" w:cs="Times New Roman"/>
          <w:sz w:val="26"/>
          <w:szCs w:val="26"/>
        </w:rPr>
        <w:t>nya</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peneliti</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ingin</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mengucapkan</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terima</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kasih</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kepada</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beberapa</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pihak</w:t>
      </w:r>
      <w:proofErr w:type="spellEnd"/>
      <w:r w:rsidRPr="0080626F">
        <w:rPr>
          <w:rFonts w:ascii="Times New Roman" w:hAnsi="Times New Roman" w:cs="Times New Roman"/>
          <w:sz w:val="26"/>
          <w:szCs w:val="26"/>
        </w:rPr>
        <w:t xml:space="preserve"> yang </w:t>
      </w:r>
      <w:proofErr w:type="spellStart"/>
      <w:r w:rsidRPr="0080626F">
        <w:rPr>
          <w:rFonts w:ascii="Times New Roman" w:hAnsi="Times New Roman" w:cs="Times New Roman"/>
          <w:sz w:val="26"/>
          <w:szCs w:val="26"/>
        </w:rPr>
        <w:t>terlibat</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secara</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langsung</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dan</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tidak</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langsung</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dalam</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mendukung</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t</w:t>
      </w:r>
      <w:r w:rsidR="004F0109" w:rsidRPr="0080626F">
        <w:rPr>
          <w:rFonts w:ascii="Times New Roman" w:hAnsi="Times New Roman" w:cs="Times New Roman"/>
          <w:sz w:val="26"/>
          <w:szCs w:val="26"/>
        </w:rPr>
        <w:t>erselesaikannya</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penelitian</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ini</w:t>
      </w:r>
      <w:proofErr w:type="spellEnd"/>
      <w:r w:rsidR="004F0109" w:rsidRPr="0080626F">
        <w:rPr>
          <w:rFonts w:ascii="Times New Roman" w:hAnsi="Times New Roman" w:cs="Times New Roman"/>
          <w:sz w:val="26"/>
          <w:szCs w:val="26"/>
        </w:rPr>
        <w:t xml:space="preserve"> di </w:t>
      </w:r>
      <w:proofErr w:type="spellStart"/>
      <w:r w:rsidR="004F0109" w:rsidRPr="0080626F">
        <w:rPr>
          <w:rFonts w:ascii="Times New Roman" w:hAnsi="Times New Roman" w:cs="Times New Roman"/>
          <w:sz w:val="26"/>
          <w:szCs w:val="26"/>
        </w:rPr>
        <w:t>antaranya</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Rektor</w:t>
      </w:r>
      <w:proofErr w:type="spellEnd"/>
      <w:r w:rsidR="004F0109" w:rsidRPr="0080626F">
        <w:rPr>
          <w:rFonts w:ascii="Times New Roman" w:hAnsi="Times New Roman" w:cs="Times New Roman"/>
          <w:sz w:val="26"/>
          <w:szCs w:val="26"/>
        </w:rPr>
        <w:t xml:space="preserve"> UIN </w:t>
      </w:r>
      <w:proofErr w:type="spellStart"/>
      <w:r w:rsidR="004F0109" w:rsidRPr="0080626F">
        <w:rPr>
          <w:rFonts w:ascii="Times New Roman" w:hAnsi="Times New Roman" w:cs="Times New Roman"/>
          <w:sz w:val="26"/>
          <w:szCs w:val="26"/>
        </w:rPr>
        <w:t>Syarif</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Hidayatullah</w:t>
      </w:r>
      <w:proofErr w:type="spellEnd"/>
      <w:r w:rsidR="004F0109" w:rsidRPr="0080626F">
        <w:rPr>
          <w:rFonts w:ascii="Times New Roman" w:hAnsi="Times New Roman" w:cs="Times New Roman"/>
          <w:sz w:val="26"/>
          <w:szCs w:val="26"/>
        </w:rPr>
        <w:t xml:space="preserve"> Jakarta, Prof. Dr. </w:t>
      </w:r>
      <w:proofErr w:type="spellStart"/>
      <w:r w:rsidR="004F0109" w:rsidRPr="0080626F">
        <w:rPr>
          <w:rFonts w:ascii="Times New Roman" w:hAnsi="Times New Roman" w:cs="Times New Roman"/>
          <w:sz w:val="26"/>
          <w:szCs w:val="26"/>
        </w:rPr>
        <w:t>Amany</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Burhanuddin</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Lubis</w:t>
      </w:r>
      <w:proofErr w:type="spellEnd"/>
      <w:r w:rsidR="004F0109" w:rsidRPr="0080626F">
        <w:rPr>
          <w:rFonts w:ascii="Times New Roman" w:hAnsi="Times New Roman" w:cs="Times New Roman"/>
          <w:sz w:val="26"/>
          <w:szCs w:val="26"/>
        </w:rPr>
        <w:t xml:space="preserve">, MA yang </w:t>
      </w:r>
      <w:proofErr w:type="spellStart"/>
      <w:r w:rsidR="004F0109" w:rsidRPr="0080626F">
        <w:rPr>
          <w:rFonts w:ascii="Times New Roman" w:hAnsi="Times New Roman" w:cs="Times New Roman"/>
          <w:sz w:val="26"/>
          <w:szCs w:val="26"/>
        </w:rPr>
        <w:t>telah</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memberikan</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dukungan</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pembiayaan</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sehingga</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penelitian</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dapat</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dilaksanakan</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Begitu</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juga</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dengan</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Kepala</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Pusat</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Penelitian</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dan</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Penerbitan</w:t>
      </w:r>
      <w:proofErr w:type="spellEnd"/>
      <w:r w:rsidR="004F0109" w:rsidRPr="0080626F">
        <w:rPr>
          <w:rFonts w:ascii="Times New Roman" w:hAnsi="Times New Roman" w:cs="Times New Roman"/>
          <w:sz w:val="26"/>
          <w:szCs w:val="26"/>
        </w:rPr>
        <w:t xml:space="preserve"> LPPM UIN </w:t>
      </w:r>
      <w:proofErr w:type="spellStart"/>
      <w:r w:rsidR="004F0109" w:rsidRPr="0080626F">
        <w:rPr>
          <w:rFonts w:ascii="Times New Roman" w:hAnsi="Times New Roman" w:cs="Times New Roman"/>
          <w:sz w:val="26"/>
          <w:szCs w:val="26"/>
        </w:rPr>
        <w:t>Syarif</w:t>
      </w:r>
      <w:proofErr w:type="spellEnd"/>
      <w:r w:rsidR="004F0109" w:rsidRPr="0080626F">
        <w:rPr>
          <w:rFonts w:ascii="Times New Roman" w:hAnsi="Times New Roman" w:cs="Times New Roman"/>
          <w:sz w:val="26"/>
          <w:szCs w:val="26"/>
        </w:rPr>
        <w:t xml:space="preserve"> </w:t>
      </w:r>
      <w:proofErr w:type="spellStart"/>
      <w:r w:rsidR="004F0109" w:rsidRPr="0080626F">
        <w:rPr>
          <w:rFonts w:ascii="Times New Roman" w:hAnsi="Times New Roman" w:cs="Times New Roman"/>
          <w:sz w:val="26"/>
          <w:szCs w:val="26"/>
        </w:rPr>
        <w:t>Hidayatullah</w:t>
      </w:r>
      <w:proofErr w:type="spellEnd"/>
      <w:r w:rsidR="004F0109" w:rsidRPr="0080626F">
        <w:rPr>
          <w:rFonts w:ascii="Times New Roman" w:hAnsi="Times New Roman" w:cs="Times New Roman"/>
          <w:sz w:val="26"/>
          <w:szCs w:val="26"/>
        </w:rPr>
        <w:t xml:space="preserve"> Jakarta, Dr. Imam </w:t>
      </w:r>
      <w:proofErr w:type="spellStart"/>
      <w:r w:rsidR="004F0109" w:rsidRPr="0080626F">
        <w:rPr>
          <w:rFonts w:ascii="Times New Roman" w:hAnsi="Times New Roman" w:cs="Times New Roman"/>
          <w:sz w:val="26"/>
          <w:szCs w:val="26"/>
        </w:rPr>
        <w:t>Subkhi</w:t>
      </w:r>
      <w:proofErr w:type="spellEnd"/>
      <w:r w:rsidR="004F0109" w:rsidRPr="0080626F">
        <w:rPr>
          <w:rFonts w:ascii="Times New Roman" w:hAnsi="Times New Roman" w:cs="Times New Roman"/>
          <w:sz w:val="26"/>
          <w:szCs w:val="26"/>
        </w:rPr>
        <w:t>, MA</w:t>
      </w:r>
      <w:r w:rsidR="00384976" w:rsidRPr="0080626F">
        <w:rPr>
          <w:rFonts w:ascii="Times New Roman" w:hAnsi="Times New Roman" w:cs="Times New Roman"/>
          <w:sz w:val="26"/>
          <w:szCs w:val="26"/>
        </w:rPr>
        <w:t xml:space="preserve">, yang </w:t>
      </w:r>
      <w:proofErr w:type="spellStart"/>
      <w:r w:rsidR="00384976" w:rsidRPr="0080626F">
        <w:rPr>
          <w:rFonts w:ascii="Times New Roman" w:hAnsi="Times New Roman" w:cs="Times New Roman"/>
          <w:sz w:val="26"/>
          <w:szCs w:val="26"/>
        </w:rPr>
        <w:t>telah</w:t>
      </w:r>
      <w:proofErr w:type="spellEnd"/>
      <w:r w:rsidR="00384976" w:rsidRPr="0080626F">
        <w:rPr>
          <w:rFonts w:ascii="Times New Roman" w:hAnsi="Times New Roman" w:cs="Times New Roman"/>
          <w:sz w:val="26"/>
          <w:szCs w:val="26"/>
        </w:rPr>
        <w:t xml:space="preserve"> </w:t>
      </w:r>
      <w:proofErr w:type="spellStart"/>
      <w:r w:rsidR="00384976" w:rsidRPr="0080626F">
        <w:rPr>
          <w:rFonts w:ascii="Times New Roman" w:hAnsi="Times New Roman" w:cs="Times New Roman"/>
          <w:sz w:val="26"/>
          <w:szCs w:val="26"/>
        </w:rPr>
        <w:t>membantu</w:t>
      </w:r>
      <w:proofErr w:type="spellEnd"/>
      <w:r w:rsidR="00384976" w:rsidRPr="0080626F">
        <w:rPr>
          <w:rFonts w:ascii="Times New Roman" w:hAnsi="Times New Roman" w:cs="Times New Roman"/>
          <w:sz w:val="26"/>
          <w:szCs w:val="26"/>
        </w:rPr>
        <w:t xml:space="preserve"> </w:t>
      </w:r>
      <w:proofErr w:type="spellStart"/>
      <w:r w:rsidR="00384976" w:rsidRPr="0080626F">
        <w:rPr>
          <w:rFonts w:ascii="Times New Roman" w:hAnsi="Times New Roman" w:cs="Times New Roman"/>
          <w:sz w:val="26"/>
          <w:szCs w:val="26"/>
        </w:rPr>
        <w:t>menyelesaikan</w:t>
      </w:r>
      <w:proofErr w:type="spellEnd"/>
      <w:r w:rsidR="00384976" w:rsidRPr="0080626F">
        <w:rPr>
          <w:rFonts w:ascii="Times New Roman" w:hAnsi="Times New Roman" w:cs="Times New Roman"/>
          <w:sz w:val="26"/>
          <w:szCs w:val="26"/>
        </w:rPr>
        <w:t xml:space="preserve"> </w:t>
      </w:r>
      <w:proofErr w:type="spellStart"/>
      <w:r w:rsidR="00384976" w:rsidRPr="0080626F">
        <w:rPr>
          <w:rFonts w:ascii="Times New Roman" w:hAnsi="Times New Roman" w:cs="Times New Roman"/>
          <w:sz w:val="26"/>
          <w:szCs w:val="26"/>
        </w:rPr>
        <w:t>hal-hal</w:t>
      </w:r>
      <w:proofErr w:type="spellEnd"/>
      <w:r w:rsidR="00384976" w:rsidRPr="0080626F">
        <w:rPr>
          <w:rFonts w:ascii="Times New Roman" w:hAnsi="Times New Roman" w:cs="Times New Roman"/>
          <w:sz w:val="26"/>
          <w:szCs w:val="26"/>
        </w:rPr>
        <w:t xml:space="preserve"> </w:t>
      </w:r>
      <w:proofErr w:type="spellStart"/>
      <w:r w:rsidR="00384976" w:rsidRPr="0080626F">
        <w:rPr>
          <w:rFonts w:ascii="Times New Roman" w:hAnsi="Times New Roman" w:cs="Times New Roman"/>
          <w:sz w:val="26"/>
          <w:szCs w:val="26"/>
        </w:rPr>
        <w:t>administratif</w:t>
      </w:r>
      <w:proofErr w:type="spellEnd"/>
      <w:r w:rsidR="00384976" w:rsidRPr="0080626F">
        <w:rPr>
          <w:rFonts w:ascii="Times New Roman" w:hAnsi="Times New Roman" w:cs="Times New Roman"/>
          <w:sz w:val="26"/>
          <w:szCs w:val="26"/>
        </w:rPr>
        <w:t xml:space="preserve"> </w:t>
      </w:r>
      <w:proofErr w:type="spellStart"/>
      <w:r w:rsidR="00384976" w:rsidRPr="0080626F">
        <w:rPr>
          <w:rFonts w:ascii="Times New Roman" w:hAnsi="Times New Roman" w:cs="Times New Roman"/>
          <w:sz w:val="26"/>
          <w:szCs w:val="26"/>
        </w:rPr>
        <w:t>sehingga</w:t>
      </w:r>
      <w:proofErr w:type="spellEnd"/>
      <w:r w:rsidR="00384976" w:rsidRPr="0080626F">
        <w:rPr>
          <w:rFonts w:ascii="Times New Roman" w:hAnsi="Times New Roman" w:cs="Times New Roman"/>
          <w:sz w:val="26"/>
          <w:szCs w:val="26"/>
        </w:rPr>
        <w:t xml:space="preserve"> </w:t>
      </w:r>
      <w:proofErr w:type="spellStart"/>
      <w:r w:rsidR="00384976" w:rsidRPr="0080626F">
        <w:rPr>
          <w:rFonts w:ascii="Times New Roman" w:hAnsi="Times New Roman" w:cs="Times New Roman"/>
          <w:sz w:val="26"/>
          <w:szCs w:val="26"/>
        </w:rPr>
        <w:t>penelitian</w:t>
      </w:r>
      <w:proofErr w:type="spellEnd"/>
      <w:r w:rsidR="00384976" w:rsidRPr="0080626F">
        <w:rPr>
          <w:rFonts w:ascii="Times New Roman" w:hAnsi="Times New Roman" w:cs="Times New Roman"/>
          <w:sz w:val="26"/>
          <w:szCs w:val="26"/>
        </w:rPr>
        <w:t xml:space="preserve"> </w:t>
      </w:r>
      <w:proofErr w:type="spellStart"/>
      <w:r w:rsidR="00384976" w:rsidRPr="0080626F">
        <w:rPr>
          <w:rFonts w:ascii="Times New Roman" w:hAnsi="Times New Roman" w:cs="Times New Roman"/>
          <w:sz w:val="26"/>
          <w:szCs w:val="26"/>
        </w:rPr>
        <w:t>ini</w:t>
      </w:r>
      <w:proofErr w:type="spellEnd"/>
      <w:r w:rsidR="00384976" w:rsidRPr="0080626F">
        <w:rPr>
          <w:rFonts w:ascii="Times New Roman" w:hAnsi="Times New Roman" w:cs="Times New Roman"/>
          <w:sz w:val="26"/>
          <w:szCs w:val="26"/>
        </w:rPr>
        <w:t xml:space="preserve"> </w:t>
      </w:r>
      <w:proofErr w:type="spellStart"/>
      <w:r w:rsidR="00384976" w:rsidRPr="0080626F">
        <w:rPr>
          <w:rFonts w:ascii="Times New Roman" w:hAnsi="Times New Roman" w:cs="Times New Roman"/>
          <w:sz w:val="26"/>
          <w:szCs w:val="26"/>
        </w:rPr>
        <w:t>dapat</w:t>
      </w:r>
      <w:proofErr w:type="spellEnd"/>
      <w:r w:rsidR="00384976" w:rsidRPr="0080626F">
        <w:rPr>
          <w:rFonts w:ascii="Times New Roman" w:hAnsi="Times New Roman" w:cs="Times New Roman"/>
          <w:sz w:val="26"/>
          <w:szCs w:val="26"/>
        </w:rPr>
        <w:t xml:space="preserve"> </w:t>
      </w:r>
      <w:proofErr w:type="spellStart"/>
      <w:r w:rsidR="00384976" w:rsidRPr="0080626F">
        <w:rPr>
          <w:rFonts w:ascii="Times New Roman" w:hAnsi="Times New Roman" w:cs="Times New Roman"/>
          <w:sz w:val="26"/>
          <w:szCs w:val="26"/>
        </w:rPr>
        <w:t>diselesaikan</w:t>
      </w:r>
      <w:proofErr w:type="spellEnd"/>
      <w:r w:rsidR="00384976" w:rsidRPr="0080626F">
        <w:rPr>
          <w:rFonts w:ascii="Times New Roman" w:hAnsi="Times New Roman" w:cs="Times New Roman"/>
          <w:sz w:val="26"/>
          <w:szCs w:val="26"/>
        </w:rPr>
        <w:t xml:space="preserve"> </w:t>
      </w:r>
      <w:proofErr w:type="spellStart"/>
      <w:r w:rsidR="00384976" w:rsidRPr="0080626F">
        <w:rPr>
          <w:rFonts w:ascii="Times New Roman" w:hAnsi="Times New Roman" w:cs="Times New Roman"/>
          <w:sz w:val="26"/>
          <w:szCs w:val="26"/>
        </w:rPr>
        <w:t>sesuai</w:t>
      </w:r>
      <w:proofErr w:type="spellEnd"/>
      <w:r w:rsidR="00384976" w:rsidRPr="0080626F">
        <w:rPr>
          <w:rFonts w:ascii="Times New Roman" w:hAnsi="Times New Roman" w:cs="Times New Roman"/>
          <w:sz w:val="26"/>
          <w:szCs w:val="26"/>
        </w:rPr>
        <w:t xml:space="preserve"> </w:t>
      </w:r>
      <w:proofErr w:type="spellStart"/>
      <w:r w:rsidR="00384976" w:rsidRPr="0080626F">
        <w:rPr>
          <w:rFonts w:ascii="Times New Roman" w:hAnsi="Times New Roman" w:cs="Times New Roman"/>
          <w:sz w:val="26"/>
          <w:szCs w:val="26"/>
        </w:rPr>
        <w:t>ketentuan</w:t>
      </w:r>
      <w:proofErr w:type="spellEnd"/>
      <w:r w:rsidR="00384976" w:rsidRPr="0080626F">
        <w:rPr>
          <w:rFonts w:ascii="Times New Roman" w:hAnsi="Times New Roman" w:cs="Times New Roman"/>
          <w:sz w:val="26"/>
          <w:szCs w:val="26"/>
        </w:rPr>
        <w:t>.</w:t>
      </w:r>
    </w:p>
    <w:p w:rsidR="00384976" w:rsidRPr="0080626F" w:rsidRDefault="00384976" w:rsidP="00410DD4">
      <w:pPr>
        <w:spacing w:before="120" w:after="120" w:line="360" w:lineRule="auto"/>
        <w:ind w:firstLine="680"/>
        <w:jc w:val="both"/>
        <w:rPr>
          <w:rFonts w:ascii="Times New Roman" w:hAnsi="Times New Roman" w:cs="Times New Roman"/>
          <w:sz w:val="26"/>
          <w:szCs w:val="26"/>
        </w:rPr>
      </w:pPr>
      <w:proofErr w:type="spellStart"/>
      <w:proofErr w:type="gramStart"/>
      <w:r w:rsidRPr="0080626F">
        <w:rPr>
          <w:rFonts w:ascii="Times New Roman" w:hAnsi="Times New Roman" w:cs="Times New Roman"/>
          <w:sz w:val="26"/>
          <w:szCs w:val="26"/>
        </w:rPr>
        <w:t>Terakhir</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i/>
          <w:sz w:val="26"/>
          <w:szCs w:val="26"/>
        </w:rPr>
        <w:t>tiada</w:t>
      </w:r>
      <w:proofErr w:type="spellEnd"/>
      <w:r w:rsidRPr="0080626F">
        <w:rPr>
          <w:rFonts w:ascii="Times New Roman" w:hAnsi="Times New Roman" w:cs="Times New Roman"/>
          <w:i/>
          <w:sz w:val="26"/>
          <w:szCs w:val="26"/>
        </w:rPr>
        <w:t xml:space="preserve"> </w:t>
      </w:r>
      <w:proofErr w:type="spellStart"/>
      <w:r w:rsidRPr="0080626F">
        <w:rPr>
          <w:rFonts w:ascii="Times New Roman" w:hAnsi="Times New Roman" w:cs="Times New Roman"/>
          <w:i/>
          <w:sz w:val="26"/>
          <w:szCs w:val="26"/>
        </w:rPr>
        <w:t>gading</w:t>
      </w:r>
      <w:proofErr w:type="spellEnd"/>
      <w:r w:rsidRPr="0080626F">
        <w:rPr>
          <w:rFonts w:ascii="Times New Roman" w:hAnsi="Times New Roman" w:cs="Times New Roman"/>
          <w:i/>
          <w:sz w:val="26"/>
          <w:szCs w:val="26"/>
        </w:rPr>
        <w:t xml:space="preserve"> yang </w:t>
      </w:r>
      <w:proofErr w:type="spellStart"/>
      <w:r w:rsidRPr="0080626F">
        <w:rPr>
          <w:rFonts w:ascii="Times New Roman" w:hAnsi="Times New Roman" w:cs="Times New Roman"/>
          <w:i/>
          <w:sz w:val="26"/>
          <w:szCs w:val="26"/>
        </w:rPr>
        <w:t>tak</w:t>
      </w:r>
      <w:proofErr w:type="spellEnd"/>
      <w:r w:rsidRPr="0080626F">
        <w:rPr>
          <w:rFonts w:ascii="Times New Roman" w:hAnsi="Times New Roman" w:cs="Times New Roman"/>
          <w:i/>
          <w:sz w:val="26"/>
          <w:szCs w:val="26"/>
        </w:rPr>
        <w:t xml:space="preserve"> </w:t>
      </w:r>
      <w:proofErr w:type="spellStart"/>
      <w:r w:rsidRPr="0080626F">
        <w:rPr>
          <w:rFonts w:ascii="Times New Roman" w:hAnsi="Times New Roman" w:cs="Times New Roman"/>
          <w:i/>
          <w:sz w:val="26"/>
          <w:szCs w:val="26"/>
        </w:rPr>
        <w:t>retak</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penulis</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menyadari</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bahwa</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penelitian</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ini</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masih</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jauh</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dari</w:t>
      </w:r>
      <w:proofErr w:type="spellEnd"/>
      <w:r w:rsidRPr="0080626F">
        <w:rPr>
          <w:rFonts w:ascii="Times New Roman" w:hAnsi="Times New Roman" w:cs="Times New Roman"/>
          <w:sz w:val="26"/>
          <w:szCs w:val="26"/>
        </w:rPr>
        <w:t xml:space="preserve"> kata </w:t>
      </w:r>
      <w:proofErr w:type="spellStart"/>
      <w:r w:rsidRPr="0080626F">
        <w:rPr>
          <w:rFonts w:ascii="Times New Roman" w:hAnsi="Times New Roman" w:cs="Times New Roman"/>
          <w:sz w:val="26"/>
          <w:szCs w:val="26"/>
        </w:rPr>
        <w:t>sempurna</w:t>
      </w:r>
      <w:proofErr w:type="spellEnd"/>
      <w:r w:rsidRPr="0080626F">
        <w:rPr>
          <w:rFonts w:ascii="Times New Roman" w:hAnsi="Times New Roman" w:cs="Times New Roman"/>
          <w:sz w:val="26"/>
          <w:szCs w:val="26"/>
        </w:rPr>
        <w:t>.</w:t>
      </w:r>
      <w:proofErr w:type="gramEnd"/>
      <w:r w:rsidRPr="0080626F">
        <w:rPr>
          <w:rFonts w:ascii="Times New Roman" w:hAnsi="Times New Roman" w:cs="Times New Roman"/>
          <w:sz w:val="26"/>
          <w:szCs w:val="26"/>
        </w:rPr>
        <w:t xml:space="preserve"> </w:t>
      </w:r>
      <w:proofErr w:type="spellStart"/>
      <w:proofErr w:type="gramStart"/>
      <w:r w:rsidRPr="0080626F">
        <w:rPr>
          <w:rFonts w:ascii="Times New Roman" w:hAnsi="Times New Roman" w:cs="Times New Roman"/>
          <w:sz w:val="26"/>
          <w:szCs w:val="26"/>
        </w:rPr>
        <w:t>Untuk</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itu</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berbagai</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masukan</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dari</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berbagai</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pihak</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selalu</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dinantikan</w:t>
      </w:r>
      <w:proofErr w:type="spellEnd"/>
      <w:r w:rsidRPr="0080626F">
        <w:rPr>
          <w:rFonts w:ascii="Times New Roman" w:hAnsi="Times New Roman" w:cs="Times New Roman"/>
          <w:sz w:val="26"/>
          <w:szCs w:val="26"/>
        </w:rPr>
        <w:t xml:space="preserve"> demi </w:t>
      </w:r>
      <w:proofErr w:type="spellStart"/>
      <w:r w:rsidRPr="0080626F">
        <w:rPr>
          <w:rFonts w:ascii="Times New Roman" w:hAnsi="Times New Roman" w:cs="Times New Roman"/>
          <w:sz w:val="26"/>
          <w:szCs w:val="26"/>
        </w:rPr>
        <w:t>penyempurnaan</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sehingga</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semakin</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lengkap</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dan</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dapat</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dimanfaatkan</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dengan</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baik</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oleh</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berbagai</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pihak</w:t>
      </w:r>
      <w:proofErr w:type="spellEnd"/>
      <w:r w:rsidRPr="0080626F">
        <w:rPr>
          <w:rFonts w:ascii="Times New Roman" w:hAnsi="Times New Roman" w:cs="Times New Roman"/>
          <w:sz w:val="26"/>
          <w:szCs w:val="26"/>
        </w:rPr>
        <w:t>.</w:t>
      </w:r>
      <w:proofErr w:type="gramEnd"/>
    </w:p>
    <w:p w:rsidR="00384976" w:rsidRPr="0080626F" w:rsidRDefault="00384976" w:rsidP="00410DD4">
      <w:pPr>
        <w:spacing w:before="120" w:after="120" w:line="360" w:lineRule="auto"/>
        <w:ind w:firstLine="680"/>
        <w:jc w:val="both"/>
        <w:rPr>
          <w:rFonts w:ascii="Times New Roman" w:hAnsi="Times New Roman" w:cs="Times New Roman"/>
          <w:sz w:val="26"/>
          <w:szCs w:val="26"/>
        </w:rPr>
      </w:pPr>
    </w:p>
    <w:p w:rsidR="00A758AC" w:rsidRDefault="00384976" w:rsidP="00384976">
      <w:pPr>
        <w:spacing w:before="120" w:after="120" w:line="360" w:lineRule="auto"/>
        <w:jc w:val="both"/>
        <w:rPr>
          <w:rFonts w:ascii="Times New Roman" w:hAnsi="Times New Roman" w:cs="Times New Roman"/>
          <w:sz w:val="26"/>
          <w:szCs w:val="26"/>
        </w:rPr>
      </w:pPr>
      <w:r w:rsidRPr="0080626F">
        <w:rPr>
          <w:rFonts w:ascii="Times New Roman" w:hAnsi="Times New Roman" w:cs="Times New Roman"/>
          <w:sz w:val="26"/>
          <w:szCs w:val="26"/>
        </w:rPr>
        <w:t xml:space="preserve">                                                                             </w:t>
      </w:r>
    </w:p>
    <w:p w:rsidR="00384976" w:rsidRPr="0080626F" w:rsidRDefault="00A758AC" w:rsidP="00384976">
      <w:pPr>
        <w:spacing w:before="120" w:after="12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384976" w:rsidRPr="0080626F">
        <w:rPr>
          <w:rFonts w:ascii="Times New Roman" w:hAnsi="Times New Roman" w:cs="Times New Roman"/>
          <w:sz w:val="26"/>
          <w:szCs w:val="26"/>
        </w:rPr>
        <w:t>Cinangka</w:t>
      </w:r>
      <w:proofErr w:type="spellEnd"/>
      <w:r w:rsidR="00384976" w:rsidRPr="0080626F">
        <w:rPr>
          <w:rFonts w:ascii="Times New Roman" w:hAnsi="Times New Roman" w:cs="Times New Roman"/>
          <w:sz w:val="26"/>
          <w:szCs w:val="26"/>
        </w:rPr>
        <w:t>, 20 September 2020</w:t>
      </w:r>
    </w:p>
    <w:p w:rsidR="0080626F" w:rsidRPr="0080626F" w:rsidRDefault="0080626F" w:rsidP="0080626F">
      <w:pPr>
        <w:spacing w:before="120" w:after="120" w:line="360" w:lineRule="auto"/>
        <w:jc w:val="center"/>
        <w:rPr>
          <w:rFonts w:ascii="Times New Roman" w:hAnsi="Times New Roman" w:cs="Times New Roman"/>
          <w:sz w:val="26"/>
          <w:szCs w:val="26"/>
        </w:rPr>
      </w:pPr>
      <w:r w:rsidRPr="0080626F">
        <w:rPr>
          <w:rFonts w:ascii="Times New Roman" w:hAnsi="Times New Roman" w:cs="Times New Roman"/>
          <w:sz w:val="26"/>
          <w:szCs w:val="26"/>
        </w:rPr>
        <w:lastRenderedPageBreak/>
        <w:t>DAFTAR ISI</w:t>
      </w:r>
    </w:p>
    <w:p w:rsidR="0080626F" w:rsidRPr="0080626F" w:rsidRDefault="0080626F" w:rsidP="0080626F">
      <w:pPr>
        <w:spacing w:before="120" w:after="120" w:line="360" w:lineRule="auto"/>
        <w:jc w:val="center"/>
        <w:rPr>
          <w:rFonts w:ascii="Times New Roman" w:hAnsi="Times New Roman" w:cs="Times New Roman"/>
          <w:sz w:val="26"/>
          <w:szCs w:val="26"/>
        </w:rPr>
      </w:pPr>
    </w:p>
    <w:p w:rsidR="0080626F" w:rsidRPr="0080626F" w:rsidRDefault="0080626F" w:rsidP="0080626F">
      <w:pPr>
        <w:spacing w:before="120" w:after="120" w:line="360" w:lineRule="auto"/>
        <w:jc w:val="center"/>
        <w:rPr>
          <w:rFonts w:ascii="Times New Roman" w:hAnsi="Times New Roman" w:cs="Times New Roman"/>
          <w:sz w:val="26"/>
          <w:szCs w:val="26"/>
        </w:rPr>
      </w:pPr>
    </w:p>
    <w:p w:rsidR="00384976" w:rsidRPr="0080626F" w:rsidRDefault="0080626F" w:rsidP="0080626F">
      <w:pPr>
        <w:spacing w:before="120" w:after="120" w:line="360" w:lineRule="auto"/>
        <w:jc w:val="both"/>
        <w:rPr>
          <w:rFonts w:ascii="Times New Roman" w:hAnsi="Times New Roman" w:cs="Times New Roman"/>
          <w:sz w:val="26"/>
          <w:szCs w:val="26"/>
        </w:rPr>
      </w:pPr>
      <w:r w:rsidRPr="0080626F">
        <w:rPr>
          <w:rFonts w:ascii="Times New Roman" w:hAnsi="Times New Roman" w:cs="Times New Roman"/>
          <w:sz w:val="26"/>
          <w:szCs w:val="26"/>
        </w:rPr>
        <w:t xml:space="preserve">BAB </w:t>
      </w:r>
      <w:proofErr w:type="gramStart"/>
      <w:r w:rsidRPr="0080626F">
        <w:rPr>
          <w:rFonts w:ascii="Times New Roman" w:hAnsi="Times New Roman" w:cs="Times New Roman"/>
          <w:sz w:val="26"/>
          <w:szCs w:val="26"/>
        </w:rPr>
        <w:t>I :</w:t>
      </w:r>
      <w:proofErr w:type="gramEnd"/>
      <w:r w:rsidRPr="0080626F">
        <w:rPr>
          <w:rFonts w:ascii="Times New Roman" w:hAnsi="Times New Roman" w:cs="Times New Roman"/>
          <w:sz w:val="26"/>
          <w:szCs w:val="26"/>
        </w:rPr>
        <w:t xml:space="preserve">  </w:t>
      </w:r>
      <w:proofErr w:type="spellStart"/>
      <w:r w:rsidR="00384976" w:rsidRPr="0080626F">
        <w:rPr>
          <w:rFonts w:ascii="Times New Roman" w:hAnsi="Times New Roman" w:cs="Times New Roman"/>
          <w:sz w:val="26"/>
          <w:szCs w:val="26"/>
        </w:rPr>
        <w:t>Pendahuluan</w:t>
      </w:r>
      <w:proofErr w:type="spellEnd"/>
    </w:p>
    <w:p w:rsidR="00384976" w:rsidRPr="0080626F" w:rsidRDefault="00384976" w:rsidP="00384976">
      <w:pPr>
        <w:pStyle w:val="ListParagraph"/>
        <w:numPr>
          <w:ilvl w:val="0"/>
          <w:numId w:val="4"/>
        </w:numPr>
        <w:spacing w:before="120" w:after="120" w:line="360" w:lineRule="auto"/>
        <w:jc w:val="both"/>
        <w:rPr>
          <w:rFonts w:ascii="Times New Roman" w:hAnsi="Times New Roman" w:cs="Times New Roman"/>
          <w:sz w:val="26"/>
          <w:szCs w:val="26"/>
        </w:rPr>
      </w:pPr>
      <w:proofErr w:type="spellStart"/>
      <w:r w:rsidRPr="0080626F">
        <w:rPr>
          <w:rFonts w:ascii="Times New Roman" w:hAnsi="Times New Roman" w:cs="Times New Roman"/>
          <w:sz w:val="26"/>
          <w:szCs w:val="26"/>
        </w:rPr>
        <w:t>Latar</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Belakang</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Masalah</w:t>
      </w:r>
      <w:proofErr w:type="spellEnd"/>
    </w:p>
    <w:p w:rsidR="00384976" w:rsidRPr="0080626F" w:rsidRDefault="00384976" w:rsidP="00384976">
      <w:pPr>
        <w:pStyle w:val="ListParagraph"/>
        <w:numPr>
          <w:ilvl w:val="0"/>
          <w:numId w:val="4"/>
        </w:numPr>
        <w:spacing w:before="120" w:after="120" w:line="360" w:lineRule="auto"/>
        <w:jc w:val="both"/>
        <w:rPr>
          <w:rFonts w:ascii="Times New Roman" w:hAnsi="Times New Roman" w:cs="Times New Roman"/>
          <w:sz w:val="26"/>
          <w:szCs w:val="26"/>
        </w:rPr>
      </w:pPr>
      <w:proofErr w:type="spellStart"/>
      <w:r w:rsidRPr="0080626F">
        <w:rPr>
          <w:rFonts w:ascii="Times New Roman" w:hAnsi="Times New Roman" w:cs="Times New Roman"/>
          <w:sz w:val="26"/>
          <w:szCs w:val="26"/>
        </w:rPr>
        <w:t>Rumusan</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Masalah</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dan</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Bata</w:t>
      </w:r>
      <w:bookmarkStart w:id="0" w:name="_GoBack"/>
      <w:bookmarkEnd w:id="0"/>
      <w:r w:rsidRPr="0080626F">
        <w:rPr>
          <w:rFonts w:ascii="Times New Roman" w:hAnsi="Times New Roman" w:cs="Times New Roman"/>
          <w:sz w:val="26"/>
          <w:szCs w:val="26"/>
        </w:rPr>
        <w:t>san</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Masalah</w:t>
      </w:r>
      <w:proofErr w:type="spellEnd"/>
    </w:p>
    <w:p w:rsidR="00384976" w:rsidRPr="0080626F" w:rsidRDefault="00384976" w:rsidP="00384976">
      <w:pPr>
        <w:pStyle w:val="ListParagraph"/>
        <w:numPr>
          <w:ilvl w:val="0"/>
          <w:numId w:val="4"/>
        </w:numPr>
        <w:spacing w:before="120" w:after="120" w:line="360" w:lineRule="auto"/>
        <w:jc w:val="both"/>
        <w:rPr>
          <w:rFonts w:ascii="Times New Roman" w:hAnsi="Times New Roman" w:cs="Times New Roman"/>
          <w:sz w:val="26"/>
          <w:szCs w:val="26"/>
        </w:rPr>
      </w:pPr>
      <w:proofErr w:type="spellStart"/>
      <w:r w:rsidRPr="0080626F">
        <w:rPr>
          <w:rFonts w:ascii="Times New Roman" w:hAnsi="Times New Roman" w:cs="Times New Roman"/>
          <w:sz w:val="26"/>
          <w:szCs w:val="26"/>
        </w:rPr>
        <w:t>Tujuan</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Penelitian</w:t>
      </w:r>
      <w:proofErr w:type="spellEnd"/>
    </w:p>
    <w:p w:rsidR="00384976" w:rsidRPr="0080626F" w:rsidRDefault="00384976" w:rsidP="00384976">
      <w:pPr>
        <w:pStyle w:val="ListParagraph"/>
        <w:numPr>
          <w:ilvl w:val="0"/>
          <w:numId w:val="4"/>
        </w:numPr>
        <w:spacing w:before="120" w:after="120" w:line="360" w:lineRule="auto"/>
        <w:jc w:val="both"/>
        <w:rPr>
          <w:rFonts w:ascii="Times New Roman" w:hAnsi="Times New Roman" w:cs="Times New Roman"/>
          <w:sz w:val="26"/>
          <w:szCs w:val="26"/>
        </w:rPr>
      </w:pPr>
      <w:proofErr w:type="spellStart"/>
      <w:r w:rsidRPr="0080626F">
        <w:rPr>
          <w:rFonts w:ascii="Times New Roman" w:hAnsi="Times New Roman" w:cs="Times New Roman"/>
          <w:sz w:val="26"/>
          <w:szCs w:val="26"/>
        </w:rPr>
        <w:t>Literatur</w:t>
      </w:r>
      <w:proofErr w:type="spellEnd"/>
      <w:r w:rsidRPr="0080626F">
        <w:rPr>
          <w:rFonts w:ascii="Times New Roman" w:hAnsi="Times New Roman" w:cs="Times New Roman"/>
          <w:sz w:val="26"/>
          <w:szCs w:val="26"/>
        </w:rPr>
        <w:t xml:space="preserve"> Review</w:t>
      </w:r>
    </w:p>
    <w:p w:rsidR="00384976" w:rsidRPr="0080626F" w:rsidRDefault="00384976" w:rsidP="00384976">
      <w:pPr>
        <w:pStyle w:val="ListParagraph"/>
        <w:numPr>
          <w:ilvl w:val="0"/>
          <w:numId w:val="4"/>
        </w:numPr>
        <w:spacing w:before="120" w:after="120" w:line="360" w:lineRule="auto"/>
        <w:jc w:val="both"/>
        <w:rPr>
          <w:rFonts w:ascii="Times New Roman" w:hAnsi="Times New Roman" w:cs="Times New Roman"/>
          <w:sz w:val="26"/>
          <w:szCs w:val="26"/>
        </w:rPr>
      </w:pPr>
      <w:proofErr w:type="spellStart"/>
      <w:r w:rsidRPr="0080626F">
        <w:rPr>
          <w:rFonts w:ascii="Times New Roman" w:hAnsi="Times New Roman" w:cs="Times New Roman"/>
          <w:sz w:val="26"/>
          <w:szCs w:val="26"/>
        </w:rPr>
        <w:t>Landasan</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Teori</w:t>
      </w:r>
      <w:proofErr w:type="spellEnd"/>
    </w:p>
    <w:p w:rsidR="00384976" w:rsidRPr="0080626F" w:rsidRDefault="00384976" w:rsidP="00384976">
      <w:pPr>
        <w:pStyle w:val="ListParagraph"/>
        <w:numPr>
          <w:ilvl w:val="0"/>
          <w:numId w:val="4"/>
        </w:numPr>
        <w:spacing w:before="120" w:after="120" w:line="360" w:lineRule="auto"/>
        <w:jc w:val="both"/>
        <w:rPr>
          <w:rFonts w:ascii="Times New Roman" w:hAnsi="Times New Roman" w:cs="Times New Roman"/>
          <w:sz w:val="26"/>
          <w:szCs w:val="26"/>
        </w:rPr>
      </w:pPr>
      <w:proofErr w:type="spellStart"/>
      <w:r w:rsidRPr="0080626F">
        <w:rPr>
          <w:rFonts w:ascii="Times New Roman" w:hAnsi="Times New Roman" w:cs="Times New Roman"/>
          <w:sz w:val="26"/>
          <w:szCs w:val="26"/>
        </w:rPr>
        <w:t>Metode</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Penelitian</w:t>
      </w:r>
      <w:proofErr w:type="spellEnd"/>
    </w:p>
    <w:p w:rsidR="00384976" w:rsidRPr="0080626F" w:rsidRDefault="00384976" w:rsidP="00384976">
      <w:pPr>
        <w:pStyle w:val="ListParagraph"/>
        <w:numPr>
          <w:ilvl w:val="0"/>
          <w:numId w:val="4"/>
        </w:numPr>
        <w:spacing w:before="120" w:after="120" w:line="360" w:lineRule="auto"/>
        <w:jc w:val="both"/>
        <w:rPr>
          <w:rFonts w:ascii="Times New Roman" w:hAnsi="Times New Roman" w:cs="Times New Roman"/>
          <w:sz w:val="26"/>
          <w:szCs w:val="26"/>
        </w:rPr>
      </w:pPr>
      <w:proofErr w:type="spellStart"/>
      <w:r w:rsidRPr="0080626F">
        <w:rPr>
          <w:rFonts w:ascii="Times New Roman" w:hAnsi="Times New Roman" w:cs="Times New Roman"/>
          <w:sz w:val="26"/>
          <w:szCs w:val="26"/>
        </w:rPr>
        <w:t>Sistematika</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Penulisan</w:t>
      </w:r>
      <w:proofErr w:type="spellEnd"/>
    </w:p>
    <w:p w:rsidR="0080626F" w:rsidRPr="0080626F" w:rsidRDefault="0080626F" w:rsidP="0080626F">
      <w:pPr>
        <w:spacing w:before="120" w:after="120" w:line="360" w:lineRule="auto"/>
        <w:jc w:val="both"/>
        <w:rPr>
          <w:rFonts w:ascii="Times New Roman" w:hAnsi="Times New Roman" w:cs="Times New Roman"/>
          <w:sz w:val="26"/>
          <w:szCs w:val="26"/>
        </w:rPr>
      </w:pPr>
      <w:r w:rsidRPr="0080626F">
        <w:rPr>
          <w:rFonts w:ascii="Times New Roman" w:hAnsi="Times New Roman" w:cs="Times New Roman"/>
          <w:sz w:val="26"/>
          <w:szCs w:val="26"/>
        </w:rPr>
        <w:t xml:space="preserve">BAB </w:t>
      </w:r>
      <w:proofErr w:type="gramStart"/>
      <w:r w:rsidRPr="0080626F">
        <w:rPr>
          <w:rFonts w:ascii="Times New Roman" w:hAnsi="Times New Roman" w:cs="Times New Roman"/>
          <w:sz w:val="26"/>
          <w:szCs w:val="26"/>
        </w:rPr>
        <w:t>II :</w:t>
      </w:r>
      <w:proofErr w:type="gram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Biografi</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Syaikh</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Syamsuddin</w:t>
      </w:r>
      <w:proofErr w:type="spellEnd"/>
      <w:r w:rsidRPr="0080626F">
        <w:rPr>
          <w:rFonts w:ascii="Times New Roman" w:hAnsi="Times New Roman" w:cs="Times New Roman"/>
          <w:sz w:val="26"/>
          <w:szCs w:val="26"/>
        </w:rPr>
        <w:t xml:space="preserve"> al-</w:t>
      </w:r>
      <w:proofErr w:type="spellStart"/>
      <w:r w:rsidRPr="0080626F">
        <w:rPr>
          <w:rFonts w:ascii="Times New Roman" w:hAnsi="Times New Roman" w:cs="Times New Roman"/>
          <w:sz w:val="26"/>
          <w:szCs w:val="26"/>
        </w:rPr>
        <w:t>Sumatrani</w:t>
      </w:r>
      <w:proofErr w:type="spellEnd"/>
    </w:p>
    <w:p w:rsidR="0080626F" w:rsidRPr="0080626F" w:rsidRDefault="0080626F" w:rsidP="0080626F">
      <w:pPr>
        <w:pStyle w:val="ListParagraph"/>
        <w:numPr>
          <w:ilvl w:val="0"/>
          <w:numId w:val="5"/>
        </w:numPr>
        <w:spacing w:before="120" w:after="120" w:line="360" w:lineRule="auto"/>
        <w:jc w:val="both"/>
        <w:rPr>
          <w:rFonts w:ascii="Times New Roman" w:hAnsi="Times New Roman" w:cs="Times New Roman"/>
          <w:sz w:val="26"/>
          <w:szCs w:val="26"/>
        </w:rPr>
      </w:pPr>
      <w:proofErr w:type="spellStart"/>
      <w:r w:rsidRPr="0080626F">
        <w:rPr>
          <w:rFonts w:ascii="Times New Roman" w:hAnsi="Times New Roman" w:cs="Times New Roman"/>
          <w:sz w:val="26"/>
          <w:szCs w:val="26"/>
        </w:rPr>
        <w:t>Riwayat</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Hidup</w:t>
      </w:r>
      <w:proofErr w:type="spellEnd"/>
    </w:p>
    <w:p w:rsidR="0080626F" w:rsidRPr="0080626F" w:rsidRDefault="0080626F" w:rsidP="0080626F">
      <w:pPr>
        <w:pStyle w:val="ListParagraph"/>
        <w:numPr>
          <w:ilvl w:val="0"/>
          <w:numId w:val="5"/>
        </w:numPr>
        <w:spacing w:before="120" w:after="120" w:line="360" w:lineRule="auto"/>
        <w:jc w:val="both"/>
        <w:rPr>
          <w:rFonts w:ascii="Times New Roman" w:hAnsi="Times New Roman" w:cs="Times New Roman"/>
          <w:sz w:val="26"/>
          <w:szCs w:val="26"/>
        </w:rPr>
      </w:pPr>
      <w:proofErr w:type="spellStart"/>
      <w:r w:rsidRPr="0080626F">
        <w:rPr>
          <w:rFonts w:ascii="Times New Roman" w:hAnsi="Times New Roman" w:cs="Times New Roman"/>
          <w:sz w:val="26"/>
          <w:szCs w:val="26"/>
        </w:rPr>
        <w:t>Karya</w:t>
      </w:r>
      <w:proofErr w:type="spellEnd"/>
    </w:p>
    <w:p w:rsidR="0080626F" w:rsidRPr="0080626F" w:rsidRDefault="0080626F" w:rsidP="0080626F">
      <w:pPr>
        <w:spacing w:before="120" w:after="120" w:line="360" w:lineRule="auto"/>
        <w:jc w:val="both"/>
        <w:rPr>
          <w:rFonts w:ascii="Times New Roman" w:hAnsi="Times New Roman" w:cs="Times New Roman"/>
          <w:sz w:val="26"/>
          <w:szCs w:val="26"/>
        </w:rPr>
      </w:pPr>
      <w:r w:rsidRPr="0080626F">
        <w:rPr>
          <w:rFonts w:ascii="Times New Roman" w:hAnsi="Times New Roman" w:cs="Times New Roman"/>
          <w:sz w:val="26"/>
          <w:szCs w:val="26"/>
        </w:rPr>
        <w:t xml:space="preserve">BAB </w:t>
      </w:r>
      <w:proofErr w:type="gramStart"/>
      <w:r w:rsidRPr="0080626F">
        <w:rPr>
          <w:rFonts w:ascii="Times New Roman" w:hAnsi="Times New Roman" w:cs="Times New Roman"/>
          <w:sz w:val="26"/>
          <w:szCs w:val="26"/>
        </w:rPr>
        <w:t>III :</w:t>
      </w:r>
      <w:proofErr w:type="gram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Suntingan</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Teks</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Kitab</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i/>
          <w:sz w:val="26"/>
          <w:szCs w:val="26"/>
        </w:rPr>
        <w:t>Jauhar</w:t>
      </w:r>
      <w:proofErr w:type="spellEnd"/>
      <w:r w:rsidRPr="0080626F">
        <w:rPr>
          <w:rFonts w:ascii="Times New Roman" w:hAnsi="Times New Roman" w:cs="Times New Roman"/>
          <w:i/>
          <w:sz w:val="26"/>
          <w:szCs w:val="26"/>
        </w:rPr>
        <w:t xml:space="preserve"> al-</w:t>
      </w:r>
      <w:proofErr w:type="spellStart"/>
      <w:r w:rsidRPr="0080626F">
        <w:rPr>
          <w:rFonts w:ascii="Times New Roman" w:hAnsi="Times New Roman" w:cs="Times New Roman"/>
          <w:i/>
          <w:sz w:val="26"/>
          <w:szCs w:val="26"/>
        </w:rPr>
        <w:t>Haqa’iq</w:t>
      </w:r>
      <w:proofErr w:type="spellEnd"/>
    </w:p>
    <w:p w:rsidR="0080626F" w:rsidRPr="0080626F" w:rsidRDefault="0080626F" w:rsidP="0080626F">
      <w:pPr>
        <w:spacing w:before="120" w:after="120" w:line="360" w:lineRule="auto"/>
        <w:jc w:val="both"/>
        <w:rPr>
          <w:rFonts w:ascii="Times New Roman" w:hAnsi="Times New Roman" w:cs="Times New Roman"/>
          <w:i/>
          <w:sz w:val="26"/>
          <w:szCs w:val="26"/>
        </w:rPr>
      </w:pPr>
      <w:r w:rsidRPr="0080626F">
        <w:rPr>
          <w:rFonts w:ascii="Times New Roman" w:hAnsi="Times New Roman" w:cs="Times New Roman"/>
          <w:sz w:val="26"/>
          <w:szCs w:val="26"/>
        </w:rPr>
        <w:t xml:space="preserve">BAB </w:t>
      </w:r>
      <w:proofErr w:type="gramStart"/>
      <w:r w:rsidRPr="0080626F">
        <w:rPr>
          <w:rFonts w:ascii="Times New Roman" w:hAnsi="Times New Roman" w:cs="Times New Roman"/>
          <w:sz w:val="26"/>
          <w:szCs w:val="26"/>
        </w:rPr>
        <w:t>IV :</w:t>
      </w:r>
      <w:proofErr w:type="gram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Kandungan</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Kitab</w:t>
      </w:r>
      <w:proofErr w:type="spellEnd"/>
      <w:r w:rsidRPr="0080626F">
        <w:rPr>
          <w:rFonts w:ascii="Times New Roman" w:hAnsi="Times New Roman" w:cs="Times New Roman"/>
          <w:sz w:val="26"/>
          <w:szCs w:val="26"/>
        </w:rPr>
        <w:t xml:space="preserve"> </w:t>
      </w:r>
      <w:proofErr w:type="spellStart"/>
      <w:r w:rsidRPr="0080626F">
        <w:rPr>
          <w:rFonts w:ascii="Times New Roman" w:hAnsi="Times New Roman" w:cs="Times New Roman"/>
          <w:i/>
          <w:sz w:val="26"/>
          <w:szCs w:val="26"/>
        </w:rPr>
        <w:t>Jauhar</w:t>
      </w:r>
      <w:proofErr w:type="spellEnd"/>
      <w:r w:rsidRPr="0080626F">
        <w:rPr>
          <w:rFonts w:ascii="Times New Roman" w:hAnsi="Times New Roman" w:cs="Times New Roman"/>
          <w:i/>
          <w:sz w:val="26"/>
          <w:szCs w:val="26"/>
        </w:rPr>
        <w:t xml:space="preserve"> al-</w:t>
      </w:r>
      <w:proofErr w:type="spellStart"/>
      <w:r w:rsidRPr="0080626F">
        <w:rPr>
          <w:rFonts w:ascii="Times New Roman" w:hAnsi="Times New Roman" w:cs="Times New Roman"/>
          <w:i/>
          <w:sz w:val="26"/>
          <w:szCs w:val="26"/>
        </w:rPr>
        <w:t>Haqa’iq</w:t>
      </w:r>
      <w:proofErr w:type="spellEnd"/>
    </w:p>
    <w:p w:rsidR="0080626F" w:rsidRPr="0080626F" w:rsidRDefault="0080626F" w:rsidP="0080626F">
      <w:pPr>
        <w:spacing w:before="120" w:after="120" w:line="360" w:lineRule="auto"/>
        <w:jc w:val="both"/>
        <w:rPr>
          <w:rFonts w:ascii="Times New Roman" w:hAnsi="Times New Roman" w:cs="Times New Roman"/>
          <w:sz w:val="26"/>
          <w:szCs w:val="26"/>
        </w:rPr>
      </w:pPr>
      <w:r w:rsidRPr="0080626F">
        <w:rPr>
          <w:rFonts w:ascii="Times New Roman" w:hAnsi="Times New Roman" w:cs="Times New Roman"/>
          <w:sz w:val="26"/>
          <w:szCs w:val="26"/>
        </w:rPr>
        <w:t xml:space="preserve">BAB </w:t>
      </w:r>
      <w:proofErr w:type="gramStart"/>
      <w:r w:rsidRPr="0080626F">
        <w:rPr>
          <w:rFonts w:ascii="Times New Roman" w:hAnsi="Times New Roman" w:cs="Times New Roman"/>
          <w:sz w:val="26"/>
          <w:szCs w:val="26"/>
        </w:rPr>
        <w:t>V  :</w:t>
      </w:r>
      <w:proofErr w:type="gramEnd"/>
      <w:r w:rsidRPr="0080626F">
        <w:rPr>
          <w:rFonts w:ascii="Times New Roman" w:hAnsi="Times New Roman" w:cs="Times New Roman"/>
          <w:sz w:val="26"/>
          <w:szCs w:val="26"/>
        </w:rPr>
        <w:t xml:space="preserve">  </w:t>
      </w:r>
      <w:proofErr w:type="spellStart"/>
      <w:r w:rsidRPr="0080626F">
        <w:rPr>
          <w:rFonts w:ascii="Times New Roman" w:hAnsi="Times New Roman" w:cs="Times New Roman"/>
          <w:sz w:val="26"/>
          <w:szCs w:val="26"/>
        </w:rPr>
        <w:t>Penutup</w:t>
      </w:r>
      <w:proofErr w:type="spellEnd"/>
    </w:p>
    <w:p w:rsidR="0080626F" w:rsidRPr="0080626F" w:rsidRDefault="0080626F" w:rsidP="0080626F">
      <w:pPr>
        <w:pStyle w:val="ListParagraph"/>
        <w:numPr>
          <w:ilvl w:val="0"/>
          <w:numId w:val="6"/>
        </w:numPr>
        <w:spacing w:before="120" w:after="120" w:line="360" w:lineRule="auto"/>
        <w:jc w:val="both"/>
        <w:rPr>
          <w:rFonts w:ascii="Times New Roman" w:hAnsi="Times New Roman" w:cs="Times New Roman"/>
          <w:sz w:val="26"/>
          <w:szCs w:val="26"/>
        </w:rPr>
      </w:pPr>
      <w:proofErr w:type="spellStart"/>
      <w:r w:rsidRPr="0080626F">
        <w:rPr>
          <w:rFonts w:ascii="Times New Roman" w:hAnsi="Times New Roman" w:cs="Times New Roman"/>
          <w:sz w:val="26"/>
          <w:szCs w:val="26"/>
        </w:rPr>
        <w:t>Kesimpulan</w:t>
      </w:r>
      <w:proofErr w:type="spellEnd"/>
    </w:p>
    <w:p w:rsidR="0080626F" w:rsidRPr="0080626F" w:rsidRDefault="0080626F" w:rsidP="0080626F">
      <w:pPr>
        <w:pStyle w:val="ListParagraph"/>
        <w:numPr>
          <w:ilvl w:val="0"/>
          <w:numId w:val="6"/>
        </w:numPr>
        <w:spacing w:before="120" w:after="120" w:line="360" w:lineRule="auto"/>
        <w:jc w:val="both"/>
        <w:rPr>
          <w:rFonts w:ascii="Times New Roman" w:hAnsi="Times New Roman" w:cs="Times New Roman"/>
          <w:sz w:val="26"/>
          <w:szCs w:val="26"/>
        </w:rPr>
      </w:pPr>
      <w:r w:rsidRPr="0080626F">
        <w:rPr>
          <w:rFonts w:ascii="Times New Roman" w:hAnsi="Times New Roman" w:cs="Times New Roman"/>
          <w:sz w:val="26"/>
          <w:szCs w:val="26"/>
        </w:rPr>
        <w:t>Saran</w:t>
      </w:r>
    </w:p>
    <w:p w:rsidR="009D397E" w:rsidRPr="0080626F" w:rsidRDefault="009D397E" w:rsidP="00215280">
      <w:pPr>
        <w:pStyle w:val="ListParagraph"/>
        <w:spacing w:after="0" w:line="360" w:lineRule="auto"/>
        <w:ind w:left="0" w:firstLine="680"/>
        <w:jc w:val="both"/>
        <w:rPr>
          <w:rFonts w:asciiTheme="majorBidi" w:hAnsiTheme="majorBidi" w:cstheme="majorBidi"/>
          <w:sz w:val="26"/>
          <w:szCs w:val="26"/>
        </w:rPr>
      </w:pPr>
    </w:p>
    <w:p w:rsidR="0081494B" w:rsidRPr="0080626F" w:rsidRDefault="0081494B">
      <w:pPr>
        <w:rPr>
          <w:sz w:val="26"/>
          <w:szCs w:val="26"/>
        </w:rPr>
      </w:pPr>
    </w:p>
    <w:sectPr w:rsidR="0081494B" w:rsidRPr="0080626F" w:rsidSect="0081494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1F9" w:rsidRDefault="00EC51F9" w:rsidP="00215280">
      <w:pPr>
        <w:spacing w:after="0" w:line="240" w:lineRule="auto"/>
      </w:pPr>
      <w:r>
        <w:separator/>
      </w:r>
    </w:p>
  </w:endnote>
  <w:endnote w:type="continuationSeparator" w:id="0">
    <w:p w:rsidR="00EC51F9" w:rsidRDefault="00EC51F9" w:rsidP="00215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1F9" w:rsidRDefault="00EC51F9" w:rsidP="00215280">
      <w:pPr>
        <w:spacing w:after="0" w:line="240" w:lineRule="auto"/>
      </w:pPr>
      <w:r>
        <w:separator/>
      </w:r>
    </w:p>
  </w:footnote>
  <w:footnote w:type="continuationSeparator" w:id="0">
    <w:p w:rsidR="00EC51F9" w:rsidRDefault="00EC51F9" w:rsidP="002152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66D"/>
    <w:multiLevelType w:val="hybridMultilevel"/>
    <w:tmpl w:val="6CE2B1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DD7750"/>
    <w:multiLevelType w:val="hybridMultilevel"/>
    <w:tmpl w:val="AB988E2C"/>
    <w:lvl w:ilvl="0" w:tplc="10DE55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9C939BC"/>
    <w:multiLevelType w:val="hybridMultilevel"/>
    <w:tmpl w:val="0944C43E"/>
    <w:lvl w:ilvl="0" w:tplc="684A4F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0044E0"/>
    <w:multiLevelType w:val="hybridMultilevel"/>
    <w:tmpl w:val="50C03A96"/>
    <w:lvl w:ilvl="0" w:tplc="FD20502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BA15980"/>
    <w:multiLevelType w:val="hybridMultilevel"/>
    <w:tmpl w:val="9DA66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38021C"/>
    <w:multiLevelType w:val="hybridMultilevel"/>
    <w:tmpl w:val="89CAB318"/>
    <w:lvl w:ilvl="0" w:tplc="742053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BA3"/>
    <w:rsid w:val="000040E2"/>
    <w:rsid w:val="00011F36"/>
    <w:rsid w:val="000506B2"/>
    <w:rsid w:val="00056081"/>
    <w:rsid w:val="0009145A"/>
    <w:rsid w:val="000C6D0A"/>
    <w:rsid w:val="000E3C77"/>
    <w:rsid w:val="00107491"/>
    <w:rsid w:val="0012424A"/>
    <w:rsid w:val="001338F2"/>
    <w:rsid w:val="00144B03"/>
    <w:rsid w:val="0016707D"/>
    <w:rsid w:val="0017170F"/>
    <w:rsid w:val="001809C2"/>
    <w:rsid w:val="0018217C"/>
    <w:rsid w:val="00184163"/>
    <w:rsid w:val="00197F73"/>
    <w:rsid w:val="001A4647"/>
    <w:rsid w:val="001E2BD0"/>
    <w:rsid w:val="001E68D7"/>
    <w:rsid w:val="001F242F"/>
    <w:rsid w:val="00212D5C"/>
    <w:rsid w:val="00213116"/>
    <w:rsid w:val="00215280"/>
    <w:rsid w:val="002303BC"/>
    <w:rsid w:val="00233387"/>
    <w:rsid w:val="00233E9D"/>
    <w:rsid w:val="00234BA0"/>
    <w:rsid w:val="00234D98"/>
    <w:rsid w:val="00241AB8"/>
    <w:rsid w:val="00250AA7"/>
    <w:rsid w:val="003048C3"/>
    <w:rsid w:val="003315DE"/>
    <w:rsid w:val="00344F22"/>
    <w:rsid w:val="00360340"/>
    <w:rsid w:val="00374E20"/>
    <w:rsid w:val="00383548"/>
    <w:rsid w:val="00384976"/>
    <w:rsid w:val="003B7CB3"/>
    <w:rsid w:val="003E06EB"/>
    <w:rsid w:val="00401372"/>
    <w:rsid w:val="004073C5"/>
    <w:rsid w:val="00410725"/>
    <w:rsid w:val="00410DD4"/>
    <w:rsid w:val="004144B4"/>
    <w:rsid w:val="0042396D"/>
    <w:rsid w:val="004926F8"/>
    <w:rsid w:val="00495F6C"/>
    <w:rsid w:val="004A0579"/>
    <w:rsid w:val="004A68EA"/>
    <w:rsid w:val="004E69A2"/>
    <w:rsid w:val="004F0109"/>
    <w:rsid w:val="004F1AAC"/>
    <w:rsid w:val="004F369F"/>
    <w:rsid w:val="0052471C"/>
    <w:rsid w:val="00540110"/>
    <w:rsid w:val="005C4E99"/>
    <w:rsid w:val="005C6032"/>
    <w:rsid w:val="005D6299"/>
    <w:rsid w:val="005E38D6"/>
    <w:rsid w:val="00620452"/>
    <w:rsid w:val="006468F0"/>
    <w:rsid w:val="00676D4C"/>
    <w:rsid w:val="00692ABF"/>
    <w:rsid w:val="006F1D25"/>
    <w:rsid w:val="00726033"/>
    <w:rsid w:val="00727271"/>
    <w:rsid w:val="00733BA2"/>
    <w:rsid w:val="00774F69"/>
    <w:rsid w:val="00791142"/>
    <w:rsid w:val="007C19E0"/>
    <w:rsid w:val="0080626F"/>
    <w:rsid w:val="0081494B"/>
    <w:rsid w:val="00823FBB"/>
    <w:rsid w:val="00872D25"/>
    <w:rsid w:val="008774C3"/>
    <w:rsid w:val="00885F52"/>
    <w:rsid w:val="00895AB4"/>
    <w:rsid w:val="008A406A"/>
    <w:rsid w:val="008D68D9"/>
    <w:rsid w:val="00901893"/>
    <w:rsid w:val="00922BA3"/>
    <w:rsid w:val="00944D5E"/>
    <w:rsid w:val="00966C03"/>
    <w:rsid w:val="009C2BCA"/>
    <w:rsid w:val="009D397E"/>
    <w:rsid w:val="00A07E36"/>
    <w:rsid w:val="00A26773"/>
    <w:rsid w:val="00A27203"/>
    <w:rsid w:val="00A51192"/>
    <w:rsid w:val="00A57F89"/>
    <w:rsid w:val="00A74531"/>
    <w:rsid w:val="00A7513D"/>
    <w:rsid w:val="00A758AC"/>
    <w:rsid w:val="00A9302A"/>
    <w:rsid w:val="00AC5C53"/>
    <w:rsid w:val="00AC6C98"/>
    <w:rsid w:val="00AE15F6"/>
    <w:rsid w:val="00AE45B9"/>
    <w:rsid w:val="00AF4133"/>
    <w:rsid w:val="00B01FA2"/>
    <w:rsid w:val="00B05F55"/>
    <w:rsid w:val="00B236CC"/>
    <w:rsid w:val="00B466B1"/>
    <w:rsid w:val="00BA0AAE"/>
    <w:rsid w:val="00BE65F1"/>
    <w:rsid w:val="00C4340A"/>
    <w:rsid w:val="00C658C4"/>
    <w:rsid w:val="00C94982"/>
    <w:rsid w:val="00C97EB3"/>
    <w:rsid w:val="00CB799B"/>
    <w:rsid w:val="00CC0C62"/>
    <w:rsid w:val="00CC28ED"/>
    <w:rsid w:val="00CD1168"/>
    <w:rsid w:val="00CE182A"/>
    <w:rsid w:val="00CF6FE2"/>
    <w:rsid w:val="00D22545"/>
    <w:rsid w:val="00D2255C"/>
    <w:rsid w:val="00D328DC"/>
    <w:rsid w:val="00D374DD"/>
    <w:rsid w:val="00D42996"/>
    <w:rsid w:val="00D56162"/>
    <w:rsid w:val="00D72EE9"/>
    <w:rsid w:val="00D76F73"/>
    <w:rsid w:val="00D84518"/>
    <w:rsid w:val="00DA63A6"/>
    <w:rsid w:val="00DB6D63"/>
    <w:rsid w:val="00DC0CED"/>
    <w:rsid w:val="00DD0B53"/>
    <w:rsid w:val="00DE6B14"/>
    <w:rsid w:val="00DF7046"/>
    <w:rsid w:val="00E44960"/>
    <w:rsid w:val="00E619AB"/>
    <w:rsid w:val="00E63570"/>
    <w:rsid w:val="00E66B91"/>
    <w:rsid w:val="00E73D59"/>
    <w:rsid w:val="00E75AEC"/>
    <w:rsid w:val="00E80A22"/>
    <w:rsid w:val="00EA5920"/>
    <w:rsid w:val="00EA6E9E"/>
    <w:rsid w:val="00EB6318"/>
    <w:rsid w:val="00EC51F9"/>
    <w:rsid w:val="00EC7CE9"/>
    <w:rsid w:val="00ED7F8C"/>
    <w:rsid w:val="00EF1DF6"/>
    <w:rsid w:val="00EF786F"/>
    <w:rsid w:val="00F35120"/>
    <w:rsid w:val="00F633A4"/>
    <w:rsid w:val="00F646C6"/>
    <w:rsid w:val="00F663BF"/>
    <w:rsid w:val="00F94B60"/>
    <w:rsid w:val="00F96DCE"/>
    <w:rsid w:val="00FA3C98"/>
    <w:rsid w:val="00FA7818"/>
    <w:rsid w:val="00FB0EAD"/>
    <w:rsid w:val="00FB247B"/>
    <w:rsid w:val="00FC4F3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BA3"/>
    <w:pPr>
      <w:ind w:left="720"/>
      <w:contextualSpacing/>
    </w:pPr>
  </w:style>
  <w:style w:type="paragraph" w:styleId="FootnoteText">
    <w:name w:val="footnote text"/>
    <w:basedOn w:val="Normal"/>
    <w:link w:val="FootnoteTextChar"/>
    <w:semiHidden/>
    <w:unhideWhenUsed/>
    <w:rsid w:val="00215280"/>
    <w:pPr>
      <w:spacing w:after="0" w:line="240" w:lineRule="auto"/>
    </w:pPr>
    <w:rPr>
      <w:sz w:val="20"/>
      <w:szCs w:val="20"/>
    </w:rPr>
  </w:style>
  <w:style w:type="character" w:customStyle="1" w:styleId="FootnoteTextChar">
    <w:name w:val="Footnote Text Char"/>
    <w:basedOn w:val="DefaultParagraphFont"/>
    <w:link w:val="FootnoteText"/>
    <w:semiHidden/>
    <w:rsid w:val="00215280"/>
    <w:rPr>
      <w:sz w:val="20"/>
      <w:szCs w:val="20"/>
    </w:rPr>
  </w:style>
  <w:style w:type="character" w:styleId="FootnoteReference">
    <w:name w:val="footnote reference"/>
    <w:basedOn w:val="DefaultParagraphFont"/>
    <w:uiPriority w:val="99"/>
    <w:semiHidden/>
    <w:unhideWhenUsed/>
    <w:rsid w:val="002152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BA3"/>
    <w:pPr>
      <w:ind w:left="720"/>
      <w:contextualSpacing/>
    </w:pPr>
  </w:style>
  <w:style w:type="paragraph" w:styleId="FootnoteText">
    <w:name w:val="footnote text"/>
    <w:basedOn w:val="Normal"/>
    <w:link w:val="FootnoteTextChar"/>
    <w:semiHidden/>
    <w:unhideWhenUsed/>
    <w:rsid w:val="00215280"/>
    <w:pPr>
      <w:spacing w:after="0" w:line="240" w:lineRule="auto"/>
    </w:pPr>
    <w:rPr>
      <w:sz w:val="20"/>
      <w:szCs w:val="20"/>
    </w:rPr>
  </w:style>
  <w:style w:type="character" w:customStyle="1" w:styleId="FootnoteTextChar">
    <w:name w:val="Footnote Text Char"/>
    <w:basedOn w:val="DefaultParagraphFont"/>
    <w:link w:val="FootnoteText"/>
    <w:semiHidden/>
    <w:rsid w:val="00215280"/>
    <w:rPr>
      <w:sz w:val="20"/>
      <w:szCs w:val="20"/>
    </w:rPr>
  </w:style>
  <w:style w:type="character" w:styleId="FootnoteReference">
    <w:name w:val="footnote reference"/>
    <w:basedOn w:val="DefaultParagraphFont"/>
    <w:uiPriority w:val="99"/>
    <w:semiHidden/>
    <w:unhideWhenUsed/>
    <w:rsid w:val="002152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2CFEF-618C-415F-8B2F-125F4883E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Alfadhli Tasman</dc:creator>
  <cp:lastModifiedBy>Yayah Nurmaliah</cp:lastModifiedBy>
  <cp:revision>2</cp:revision>
  <dcterms:created xsi:type="dcterms:W3CDTF">2020-09-23T23:17:00Z</dcterms:created>
  <dcterms:modified xsi:type="dcterms:W3CDTF">2020-09-23T23:17:00Z</dcterms:modified>
</cp:coreProperties>
</file>